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AF" w:rsidRPr="00514AC2" w:rsidRDefault="00B328AF">
      <w:pPr>
        <w:pStyle w:val="NoSpacing"/>
        <w:rPr>
          <w:rFonts w:ascii="Tw Cen MT" w:hAnsi="Tw Cen MT" w:cs="Tw Cen MT"/>
          <w:color w:val="000000"/>
        </w:rPr>
      </w:pPr>
    </w:p>
    <w:p w:rsidR="00B328AF" w:rsidRDefault="00B328AF">
      <w:pPr>
        <w:rPr>
          <w:noProof/>
          <w:lang w:eastAsia="pl-PL"/>
        </w:rPr>
      </w:pPr>
      <w:r>
        <w:rPr>
          <w:rFonts w:ascii="Arial" w:hAnsi="Arial" w:cs="Arial"/>
          <w:b/>
          <w:bCs/>
          <w:color w:val="000000"/>
        </w:rPr>
        <w:t>TB.271.4</w:t>
      </w:r>
      <w:r w:rsidRPr="00514AC2">
        <w:rPr>
          <w:rFonts w:ascii="Arial" w:hAnsi="Arial" w:cs="Arial"/>
          <w:b/>
          <w:bCs/>
          <w:color w:val="000000"/>
        </w:rPr>
        <w:t>.201</w:t>
      </w:r>
      <w:r>
        <w:rPr>
          <w:rFonts w:ascii="Arial" w:hAnsi="Arial" w:cs="Arial"/>
          <w:b/>
          <w:bCs/>
          <w:color w:val="000000"/>
        </w:rPr>
        <w:t>9</w:t>
      </w:r>
      <w:r w:rsidRPr="00514AC2">
        <w:rPr>
          <w:rFonts w:ascii="Arial" w:hAnsi="Arial" w:cs="Arial"/>
          <w:b/>
          <w:bCs/>
          <w:color w:val="000000"/>
        </w:rPr>
        <w:t>.ZP</w:t>
      </w:r>
      <w:r w:rsidRPr="00514AC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4AC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14AC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14AC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14AC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14AC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14AC2">
        <w:rPr>
          <w:rFonts w:ascii="Arial" w:hAnsi="Arial" w:cs="Arial"/>
          <w:b/>
          <w:bCs/>
          <w:color w:val="000000"/>
          <w:sz w:val="24"/>
          <w:szCs w:val="24"/>
        </w:rPr>
        <w:tab/>
        <w:t>Załącznik nr 10 do SIWZ</w:t>
      </w:r>
    </w:p>
    <w:p w:rsidR="00B328AF" w:rsidRPr="00122237" w:rsidRDefault="00B328AF" w:rsidP="00122237">
      <w:pPr>
        <w:spacing w:after="0"/>
        <w:rPr>
          <w:rFonts w:ascii="Arial" w:hAnsi="Arial" w:cs="Arial"/>
          <w:b/>
          <w:bCs/>
          <w:noProof/>
          <w:lang w:eastAsia="pl-PL"/>
        </w:rPr>
      </w:pPr>
      <w:r w:rsidRPr="00122237">
        <w:rPr>
          <w:rFonts w:ascii="Arial" w:hAnsi="Arial" w:cs="Arial"/>
          <w:b/>
          <w:bCs/>
          <w:noProof/>
          <w:lang w:eastAsia="pl-PL"/>
        </w:rPr>
        <w:t>GMINA RESZEL</w:t>
      </w:r>
    </w:p>
    <w:p w:rsidR="00B328AF" w:rsidRPr="00122237" w:rsidRDefault="00B328AF" w:rsidP="00122237">
      <w:pPr>
        <w:spacing w:after="0"/>
        <w:rPr>
          <w:rFonts w:ascii="Arial" w:hAnsi="Arial" w:cs="Arial"/>
          <w:b/>
          <w:bCs/>
          <w:noProof/>
          <w:lang w:eastAsia="pl-PL"/>
        </w:rPr>
      </w:pPr>
      <w:r w:rsidRPr="00122237">
        <w:rPr>
          <w:rFonts w:ascii="Arial" w:hAnsi="Arial" w:cs="Arial"/>
          <w:b/>
          <w:bCs/>
          <w:noProof/>
          <w:lang w:eastAsia="pl-PL"/>
        </w:rPr>
        <w:t xml:space="preserve">UL. </w:t>
      </w: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2" o:spid="_x0000_s1027" type="#_x0000_t202" style="position:absolute;margin-left:2875.6pt;margin-top:627pt;width:452.4pt;height:28.8pt;z-index:251658240;visibility:visible;mso-position-horizontal:right;mso-position-horizontal-relative:margin;mso-position-vertical-relative:page;v-text-anchor:bottom" filled="f" stroked="f" strokeweight=".5pt">
            <v:textbox style="mso-fit-shape-to-text:t" inset="0,0,0,0">
              <w:txbxContent>
                <w:p w:rsidR="00B328AF" w:rsidRPr="00CC3884" w:rsidRDefault="00B328AF" w:rsidP="00AF0B73">
                  <w:pPr>
                    <w:jc w:val="both"/>
                    <w:rPr>
                      <w:rFonts w:ascii="Tw Cen MT" w:hAnsi="Tw Cen MT" w:cs="Tw Cen MT"/>
                      <w:color w:val="000000"/>
                      <w:sz w:val="26"/>
                      <w:szCs w:val="26"/>
                    </w:rPr>
                  </w:pPr>
                  <w:r w:rsidRPr="00CC3884">
                    <w:rPr>
                      <w:rFonts w:ascii="Tw Cen MT" w:hAnsi="Tw Cen MT" w:cs="Tw Cen MT"/>
                      <w:b/>
                      <w:bCs/>
                      <w:color w:val="000000"/>
                      <w:sz w:val="26"/>
                      <w:szCs w:val="26"/>
                    </w:rPr>
                    <w:t>Załącznik nr 10</w:t>
                  </w:r>
                  <w:r w:rsidRPr="00CC3884">
                    <w:rPr>
                      <w:rFonts w:ascii="Tw Cen MT" w:hAnsi="Tw Cen MT" w:cs="Tw Cen MT"/>
                      <w:color w:val="000000"/>
                      <w:sz w:val="26"/>
                      <w:szCs w:val="26"/>
                    </w:rPr>
                    <w:t xml:space="preserve"> do SIWZ dotyczący postępowania o udzielenie zamówienia prowadzonego w trybie przetargu nieograniczonego pn. Dostawa licencji i wdrożenie oprogramowania, przeprowadzenie modernizacji systemów dziedzinowych, uruchomienie e-usług publicznych oraz modernizacja strony www</w:t>
                  </w:r>
                </w:p>
                <w:p w:rsidR="00B328AF" w:rsidRPr="00C86ADD" w:rsidRDefault="00B328AF" w:rsidP="00271F2E">
                  <w:pPr>
                    <w:pStyle w:val="NoSpacing"/>
                    <w:jc w:val="both"/>
                    <w:rPr>
                      <w:rFonts w:ascii="Tw Cen MT" w:hAnsi="Tw Cen MT" w:cs="Tw Cen MT"/>
                      <w:sz w:val="26"/>
                      <w:szCs w:val="26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eastAsia="pl-PL"/>
        </w:rPr>
        <w:pict>
          <v:shape id="Pole tekstowe 1" o:spid="_x0000_s1028" type="#_x0000_t202" style="position:absolute;margin-left:2875.6pt;margin-top:199.8pt;width:452.4pt;height:267.5pt;z-index:251657216;visibility:visible;mso-position-horizontal:right;mso-position-horizontal-relative:margin;mso-position-vertical-relative:page" filled="f" stroked="f" strokeweight=".5pt">
            <v:textbox inset="0,0,0,0">
              <w:txbxContent>
                <w:p w:rsidR="00B328AF" w:rsidRPr="00E44733" w:rsidRDefault="00B328AF">
                  <w:pPr>
                    <w:pStyle w:val="NoSpacing"/>
                    <w:rPr>
                      <w:rFonts w:cs="Times New Roman"/>
                      <w:color w:val="262626"/>
                      <w:sz w:val="72"/>
                      <w:szCs w:val="72"/>
                    </w:rPr>
                  </w:pPr>
                </w:p>
                <w:p w:rsidR="00B328AF" w:rsidRPr="00E44733" w:rsidRDefault="00B328AF">
                  <w:pPr>
                    <w:pStyle w:val="NoSpacing"/>
                    <w:rPr>
                      <w:rFonts w:cs="Times New Roman"/>
                      <w:color w:val="262626"/>
                      <w:sz w:val="72"/>
                      <w:szCs w:val="72"/>
                    </w:rPr>
                  </w:pPr>
                </w:p>
                <w:p w:rsidR="00B328AF" w:rsidRPr="00B47417" w:rsidRDefault="00B328AF" w:rsidP="00B47417">
                  <w:pPr>
                    <w:pStyle w:val="NoSpacing"/>
                    <w:jc w:val="center"/>
                    <w:rPr>
                      <w:rFonts w:ascii="Tw Cen MT" w:hAnsi="Tw Cen MT" w:cs="Tw Cen MT"/>
                      <w:b/>
                      <w:bCs/>
                      <w:color w:val="262626"/>
                      <w:sz w:val="72"/>
                      <w:szCs w:val="72"/>
                    </w:rPr>
                  </w:pPr>
                  <w:r w:rsidRPr="00B47417">
                    <w:rPr>
                      <w:rFonts w:ascii="Tw Cen MT" w:hAnsi="Tw Cen MT" w:cs="Tw Cen MT"/>
                      <w:b/>
                      <w:bCs/>
                      <w:color w:val="262626"/>
                      <w:sz w:val="72"/>
                      <w:szCs w:val="72"/>
                    </w:rPr>
                    <w:t>Opis pr</w:t>
                  </w:r>
                  <w:bookmarkStart w:id="0" w:name="_GoBack"/>
                  <w:bookmarkEnd w:id="0"/>
                  <w:r w:rsidRPr="00B47417">
                    <w:rPr>
                      <w:rFonts w:ascii="Tw Cen MT" w:hAnsi="Tw Cen MT" w:cs="Tw Cen MT"/>
                      <w:b/>
                      <w:bCs/>
                      <w:color w:val="262626"/>
                      <w:sz w:val="72"/>
                      <w:szCs w:val="72"/>
                    </w:rPr>
                    <w:t>zygotowania demonstracji systemów informatycznych</w:t>
                  </w:r>
                </w:p>
                <w:p w:rsidR="00B328AF" w:rsidRPr="00E44733" w:rsidRDefault="00B328AF">
                  <w:pPr>
                    <w:spacing w:before="120"/>
                    <w:rPr>
                      <w:color w:val="404040"/>
                      <w:sz w:val="36"/>
                      <w:szCs w:val="36"/>
                    </w:rPr>
                  </w:pPr>
                </w:p>
              </w:txbxContent>
            </v:textbox>
            <w10:wrap anchorx="margin" anchory="page"/>
          </v:shape>
        </w:pict>
      </w:r>
      <w:r w:rsidRPr="00122237">
        <w:rPr>
          <w:rFonts w:ascii="Arial" w:hAnsi="Arial" w:cs="Arial"/>
          <w:b/>
          <w:bCs/>
          <w:noProof/>
          <w:lang w:eastAsia="pl-PL"/>
        </w:rPr>
        <w:t>RYNEK 24</w:t>
      </w:r>
    </w:p>
    <w:p w:rsidR="00B328AF" w:rsidRPr="00514AC2" w:rsidRDefault="00B328AF" w:rsidP="00122237">
      <w:pPr>
        <w:spacing w:after="0"/>
        <w:rPr>
          <w:rFonts w:ascii="Tw Cen MT" w:hAnsi="Tw Cen MT" w:cs="Tw Cen MT"/>
          <w:color w:val="000000"/>
        </w:rPr>
      </w:pPr>
      <w:r w:rsidRPr="00122237">
        <w:rPr>
          <w:rFonts w:ascii="Arial" w:hAnsi="Arial" w:cs="Arial"/>
          <w:b/>
          <w:bCs/>
          <w:noProof/>
          <w:lang w:eastAsia="pl-PL"/>
        </w:rPr>
        <w:t>11-440 RESZEL</w:t>
      </w:r>
      <w:r w:rsidRPr="00514AC2">
        <w:rPr>
          <w:rFonts w:ascii="Tw Cen MT" w:hAnsi="Tw Cen MT" w:cs="Tw Cen MT"/>
          <w:color w:val="000000"/>
        </w:rPr>
        <w:br w:type="page"/>
      </w:r>
    </w:p>
    <w:p w:rsidR="00B328AF" w:rsidRPr="00514AC2" w:rsidRDefault="00B328AF" w:rsidP="00B244A7">
      <w:pPr>
        <w:pStyle w:val="TOCHeading"/>
        <w:jc w:val="both"/>
        <w:rPr>
          <w:rFonts w:ascii="Tw Cen MT" w:hAnsi="Tw Cen MT" w:cs="Tw Cen MT"/>
          <w:color w:val="000000"/>
          <w:sz w:val="28"/>
          <w:szCs w:val="28"/>
        </w:rPr>
      </w:pPr>
      <w:r w:rsidRPr="00514AC2">
        <w:rPr>
          <w:rFonts w:ascii="Tw Cen MT" w:hAnsi="Tw Cen MT" w:cs="Tw Cen MT"/>
          <w:color w:val="000000"/>
          <w:sz w:val="28"/>
          <w:szCs w:val="28"/>
        </w:rPr>
        <w:t>Spis treści</w:t>
      </w:r>
    </w:p>
    <w:p w:rsidR="00B328AF" w:rsidRPr="00514AC2" w:rsidRDefault="00B328AF" w:rsidP="00B244A7">
      <w:pPr>
        <w:rPr>
          <w:color w:val="000000"/>
          <w:lang w:eastAsia="pl-PL"/>
        </w:rPr>
      </w:pPr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r w:rsidRPr="00514AC2">
        <w:rPr>
          <w:rFonts w:ascii="Tw Cen MT" w:hAnsi="Tw Cen MT" w:cs="Tw Cen MT"/>
          <w:color w:val="000000"/>
        </w:rPr>
        <w:fldChar w:fldCharType="begin"/>
      </w:r>
      <w:r w:rsidRPr="00514AC2">
        <w:rPr>
          <w:rFonts w:ascii="Tw Cen MT" w:hAnsi="Tw Cen MT" w:cs="Tw Cen MT"/>
          <w:color w:val="000000"/>
        </w:rPr>
        <w:instrText xml:space="preserve"> TOC \o "1-3" \h \z \u </w:instrText>
      </w:r>
      <w:r w:rsidRPr="00514AC2">
        <w:rPr>
          <w:rFonts w:ascii="Tw Cen MT" w:hAnsi="Tw Cen MT" w:cs="Tw Cen MT"/>
          <w:color w:val="000000"/>
        </w:rPr>
        <w:fldChar w:fldCharType="separate"/>
      </w:r>
      <w:hyperlink w:anchor="_Toc513557967" w:history="1">
        <w:r w:rsidRPr="00514AC2">
          <w:rPr>
            <w:rStyle w:val="Hyperlink"/>
            <w:noProof/>
            <w:color w:val="000000"/>
          </w:rPr>
          <w:t>Regulamin demonstracji.</w:t>
        </w:r>
        <w:r w:rsidRPr="00514AC2">
          <w:rPr>
            <w:noProof/>
            <w:webHidden/>
            <w:color w:val="000000"/>
          </w:rPr>
          <w:tab/>
        </w:r>
        <w:r w:rsidRPr="00514AC2">
          <w:rPr>
            <w:noProof/>
            <w:webHidden/>
            <w:color w:val="000000"/>
          </w:rPr>
          <w:fldChar w:fldCharType="begin"/>
        </w:r>
        <w:r w:rsidRPr="00514AC2">
          <w:rPr>
            <w:noProof/>
            <w:webHidden/>
            <w:color w:val="000000"/>
          </w:rPr>
          <w:instrText xml:space="preserve"> PAGEREF _Toc513557967 \h </w:instrText>
        </w:r>
        <w:r w:rsidRPr="00CC3884">
          <w:rPr>
            <w:noProof/>
            <w:color w:val="000000"/>
          </w:rPr>
        </w:r>
        <w:r w:rsidRPr="00514AC2">
          <w:rPr>
            <w:noProof/>
            <w:webHidden/>
            <w:color w:val="000000"/>
          </w:rPr>
          <w:fldChar w:fldCharType="separate"/>
        </w:r>
        <w:r>
          <w:rPr>
            <w:noProof/>
            <w:webHidden/>
            <w:color w:val="000000"/>
          </w:rPr>
          <w:t>2</w:t>
        </w:r>
        <w:r w:rsidRPr="00514AC2">
          <w:rPr>
            <w:noProof/>
            <w:webHidden/>
            <w:color w:val="000000"/>
          </w:rPr>
          <w:fldChar w:fldCharType="end"/>
        </w:r>
      </w:hyperlink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hyperlink w:anchor="_Toc513557968" w:history="1">
        <w:r w:rsidRPr="00514AC2">
          <w:rPr>
            <w:rStyle w:val="Hyperlink"/>
            <w:noProof/>
            <w:color w:val="000000"/>
          </w:rPr>
          <w:t>Scenariusz nr 1 w zakresie centralnej platformy e-usług mieszkańca.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>4</w:t>
        </w:r>
      </w:hyperlink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hyperlink w:anchor="_Toc513557969" w:history="1">
        <w:r w:rsidRPr="00514AC2">
          <w:rPr>
            <w:rStyle w:val="Hyperlink"/>
            <w:noProof/>
            <w:color w:val="000000"/>
          </w:rPr>
          <w:t>Scenariusz nr 2 w zakresie EOD. Rejestracja pisma wraz z załącznikami.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 xml:space="preserve">   5</w:t>
        </w:r>
      </w:hyperlink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hyperlink w:anchor="_Toc513557970" w:history="1">
        <w:r w:rsidRPr="00514AC2">
          <w:rPr>
            <w:rStyle w:val="Hyperlink"/>
            <w:noProof/>
            <w:color w:val="000000"/>
          </w:rPr>
          <w:t>Scenariusz nr 3 w zakresie EOD. Dekretacja pism.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>7</w:t>
        </w:r>
      </w:hyperlink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hyperlink w:anchor="_Toc513557971" w:history="1">
        <w:r w:rsidRPr="00514AC2">
          <w:rPr>
            <w:rStyle w:val="Hyperlink"/>
            <w:noProof/>
            <w:color w:val="000000"/>
          </w:rPr>
          <w:t>Scenariusz nr 4 w zakresie EOD. Zakładanie spraw.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>8</w:t>
        </w:r>
      </w:hyperlink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hyperlink w:anchor="_Toc513557972" w:history="1">
        <w:r w:rsidRPr="00514AC2">
          <w:rPr>
            <w:rStyle w:val="Hyperlink"/>
            <w:noProof/>
            <w:color w:val="000000"/>
          </w:rPr>
          <w:t>Scenariusz nr 5 w zakresie EOD. Obsługa raportów – pisma przekazane.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>8</w:t>
        </w:r>
      </w:hyperlink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hyperlink w:anchor="_Toc513557973" w:history="1">
        <w:r w:rsidRPr="00514AC2">
          <w:rPr>
            <w:rStyle w:val="Hyperlink"/>
            <w:noProof/>
            <w:color w:val="000000"/>
          </w:rPr>
          <w:t>Scenariusz nr 6 w zakresie EOD. Obsługa raportów – dziennik korespondencyjny.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>9</w:t>
        </w:r>
      </w:hyperlink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hyperlink w:anchor="_Toc513557974" w:history="1">
        <w:r w:rsidRPr="00514AC2">
          <w:rPr>
            <w:rStyle w:val="Hyperlink"/>
            <w:noProof/>
            <w:color w:val="000000"/>
          </w:rPr>
          <w:t>Scenariusz nr 7 w zakresie EOD. Zarządzanie aktami spraw w archiwum zakładowym.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>9</w:t>
        </w:r>
      </w:hyperlink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hyperlink w:anchor="_Toc513557975" w:history="1">
        <w:r w:rsidRPr="00514AC2">
          <w:rPr>
            <w:rStyle w:val="Hyperlink"/>
            <w:noProof/>
            <w:color w:val="000000"/>
          </w:rPr>
          <w:t>Scenariusz nr 8 w zakresie modułu komunikacji dla CPeUM. Konsultacje społeczne.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>10</w:t>
        </w:r>
      </w:hyperlink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hyperlink w:anchor="_Toc513557976" w:history="1">
        <w:r w:rsidRPr="00514AC2">
          <w:rPr>
            <w:rStyle w:val="Hyperlink"/>
            <w:noProof/>
            <w:color w:val="000000"/>
          </w:rPr>
          <w:t>Scenariusz nr 9 w zakresie modułu komunikacji dla CPeUM. Komunikacja elektroniczna.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>13</w:t>
        </w:r>
      </w:hyperlink>
    </w:p>
    <w:p w:rsidR="00B328AF" w:rsidRDefault="00B328AF">
      <w:pPr>
        <w:pStyle w:val="TOC1"/>
        <w:tabs>
          <w:tab w:val="right" w:leader="dot" w:pos="9062"/>
        </w:tabs>
        <w:rPr>
          <w:color w:val="000000"/>
        </w:rPr>
      </w:pPr>
      <w:hyperlink w:anchor="_Toc513557977" w:history="1">
        <w:r w:rsidRPr="00514AC2">
          <w:rPr>
            <w:rStyle w:val="Hyperlink"/>
            <w:noProof/>
            <w:color w:val="000000"/>
          </w:rPr>
          <w:t>Scenariusz nr 10 w zakresie Zintegrowanego Systemu Dziedzinowego. Obszar obsługi podatków i opłat lokalnych.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>14</w:t>
        </w:r>
      </w:hyperlink>
    </w:p>
    <w:p w:rsidR="00B328AF" w:rsidRDefault="00B328AF">
      <w:pPr>
        <w:pStyle w:val="TOC1"/>
        <w:tabs>
          <w:tab w:val="right" w:leader="dot" w:pos="9062"/>
        </w:tabs>
        <w:rPr>
          <w:color w:val="000000"/>
        </w:rPr>
      </w:pPr>
      <w:hyperlink w:anchor="_Toc513557978" w:history="1">
        <w:r w:rsidRPr="00514AC2">
          <w:rPr>
            <w:rStyle w:val="Hyperlink"/>
            <w:noProof/>
            <w:color w:val="000000"/>
          </w:rPr>
          <w:t>Scenariusz nr 11 w zakresie Zintegrowanego Systemu Dziedzinowego. Obszar finanse i księgowość.</w:t>
        </w:r>
        <w:r w:rsidRPr="00514AC2">
          <w:rPr>
            <w:noProof/>
            <w:webHidden/>
            <w:color w:val="000000"/>
          </w:rPr>
          <w:tab/>
        </w:r>
        <w:r>
          <w:rPr>
            <w:noProof/>
            <w:webHidden/>
            <w:color w:val="000000"/>
          </w:rPr>
          <w:t>..24</w:t>
        </w:r>
      </w:hyperlink>
    </w:p>
    <w:p w:rsidR="00B328AF" w:rsidRPr="00514AC2" w:rsidRDefault="00B328AF">
      <w:pPr>
        <w:pStyle w:val="TOC1"/>
        <w:tabs>
          <w:tab w:val="right" w:leader="dot" w:pos="9062"/>
        </w:tabs>
        <w:rPr>
          <w:noProof/>
          <w:color w:val="000000"/>
          <w:lang w:eastAsia="pl-PL"/>
        </w:rPr>
      </w:pPr>
      <w:hyperlink w:anchor="_Toc513557979" w:history="1">
        <w:r w:rsidRPr="00514AC2">
          <w:rPr>
            <w:rStyle w:val="Hyperlink"/>
            <w:noProof/>
            <w:color w:val="000000"/>
          </w:rPr>
          <w:t>Scenariusz nr 12 w zakresie Zintegrowanego Systemu Dziedzino</w:t>
        </w:r>
        <w:r>
          <w:rPr>
            <w:rStyle w:val="Hyperlink"/>
            <w:noProof/>
            <w:color w:val="000000"/>
          </w:rPr>
          <w:t>wego. Obszar masowych przelewów</w:t>
        </w:r>
        <w:r>
          <w:rPr>
            <w:noProof/>
            <w:webHidden/>
            <w:color w:val="000000"/>
          </w:rPr>
          <w:t>27</w:t>
        </w:r>
      </w:hyperlink>
    </w:p>
    <w:p w:rsidR="00B328AF" w:rsidRPr="00514AC2" w:rsidRDefault="00B328AF" w:rsidP="00176EE4">
      <w:pPr>
        <w:pStyle w:val="TOC2"/>
        <w:ind w:left="0"/>
        <w:rPr>
          <w:rFonts w:ascii="Tw Cen MT" w:hAnsi="Tw Cen MT" w:cs="Tw Cen MT"/>
          <w:b/>
          <w:bCs/>
          <w:color w:val="000000"/>
        </w:rPr>
      </w:pPr>
      <w:r w:rsidRPr="00514AC2">
        <w:rPr>
          <w:rFonts w:ascii="Tw Cen MT" w:hAnsi="Tw Cen MT" w:cs="Tw Cen MT"/>
          <w:color w:val="000000"/>
        </w:rPr>
        <w:fldChar w:fldCharType="end"/>
      </w:r>
    </w:p>
    <w:p w:rsidR="00B328AF" w:rsidRPr="00514AC2" w:rsidRDefault="00B328AF">
      <w:pPr>
        <w:rPr>
          <w:color w:val="000000"/>
        </w:rPr>
      </w:pPr>
      <w:bookmarkStart w:id="1" w:name="_Toc484430613"/>
      <w:bookmarkStart w:id="2" w:name="_Toc488187809"/>
    </w:p>
    <w:p w:rsidR="00B328AF" w:rsidRPr="00514AC2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Default="00B328AF">
      <w:pPr>
        <w:rPr>
          <w:color w:val="000000"/>
        </w:rPr>
      </w:pPr>
    </w:p>
    <w:p w:rsidR="00B328AF" w:rsidRDefault="00B328AF">
      <w:pPr>
        <w:rPr>
          <w:color w:val="000000"/>
        </w:rPr>
      </w:pPr>
    </w:p>
    <w:p w:rsidR="00B328AF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Pr="00514AC2" w:rsidRDefault="00B328AF">
      <w:pPr>
        <w:rPr>
          <w:color w:val="000000"/>
        </w:rPr>
      </w:pPr>
    </w:p>
    <w:p w:rsidR="00B328AF" w:rsidRPr="00514AC2" w:rsidRDefault="00B328AF" w:rsidP="00235D60">
      <w:pPr>
        <w:pStyle w:val="Heading1"/>
        <w:rPr>
          <w:color w:val="000000"/>
        </w:rPr>
      </w:pPr>
      <w:bookmarkStart w:id="3" w:name="_Toc513557967"/>
      <w:r w:rsidRPr="00514AC2">
        <w:rPr>
          <w:color w:val="000000"/>
        </w:rPr>
        <w:t>Regulamin demonstracji.</w:t>
      </w:r>
      <w:bookmarkEnd w:id="3"/>
    </w:p>
    <w:p w:rsidR="00B328AF" w:rsidRPr="00514AC2" w:rsidRDefault="00B328AF" w:rsidP="005F1D55">
      <w:pPr>
        <w:spacing w:after="0" w:line="240" w:lineRule="auto"/>
        <w:jc w:val="both"/>
        <w:rPr>
          <w:color w:val="000000"/>
          <w:highlight w:val="yellow"/>
        </w:rPr>
      </w:pPr>
    </w:p>
    <w:p w:rsidR="00B328AF" w:rsidRPr="00514AC2" w:rsidRDefault="00B328AF" w:rsidP="00BF3BE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Zamawiający wezwie Wykonawcę, którego oferta została oceniona jako najkorzystniejsza do przeprowadzenia demonstracji zaoferowanych systemów informatycznych w zakresie prawidłowego działania systemów oraz posiadanych funkcjonalności w kontekście wymagań określonych w Załączniku nr 1 do SIWZ.</w:t>
      </w:r>
    </w:p>
    <w:p w:rsidR="00B328AF" w:rsidRPr="00514AC2" w:rsidRDefault="00B328AF" w:rsidP="00BF3BE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 xml:space="preserve">W przypadku wezwania, o którym mowa, Wykonawca będzie zobowiązany do przeprowadzenia demonstracji zaoferowanych systemów zgodnie </w:t>
      </w:r>
      <w:r w:rsidRPr="00514AC2">
        <w:rPr>
          <w:rFonts w:ascii="Tw Cen MT" w:hAnsi="Tw Cen MT" w:cs="Tw Cen MT"/>
          <w:color w:val="000000"/>
        </w:rPr>
        <w:br/>
        <w:t xml:space="preserve">z opracowanymi przez Zamawiającego scenariuszami, które zostały opisane </w:t>
      </w:r>
      <w:r w:rsidRPr="00514AC2">
        <w:rPr>
          <w:rFonts w:ascii="Tw Cen MT" w:hAnsi="Tw Cen MT" w:cs="Tw Cen MT"/>
          <w:color w:val="000000"/>
        </w:rPr>
        <w:br/>
        <w:t xml:space="preserve">w niniejszym Załączniku. Podczas demonstracji prowadzonej przez Wykonawcę, Zamawiający zweryfikuje posiadane funkcjonalności na podstawie scenariuszy testowych (opisów) przedstawionych w niniejszym Załączniku dla każdego </w:t>
      </w:r>
      <w:r w:rsidRPr="00514AC2">
        <w:rPr>
          <w:rFonts w:ascii="Tw Cen MT" w:hAnsi="Tw Cen MT" w:cs="Tw Cen MT"/>
          <w:color w:val="000000"/>
        </w:rPr>
        <w:br/>
        <w:t xml:space="preserve">z zaoferowanych systemów. </w:t>
      </w:r>
    </w:p>
    <w:p w:rsidR="00B328AF" w:rsidRPr="00514AC2" w:rsidRDefault="00B328AF" w:rsidP="00BF3BE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 xml:space="preserve">Wykonawca, zaprezentuje oferowane systemy informatyczne zgodnie </w:t>
      </w:r>
      <w:r w:rsidRPr="00514AC2">
        <w:rPr>
          <w:rFonts w:ascii="Tw Cen MT" w:hAnsi="Tw Cen MT" w:cs="Tw Cen MT"/>
          <w:color w:val="000000"/>
        </w:rPr>
        <w:br/>
        <w:t>z niniejszym regulaminem w oparciu o scenariusze określone poniżej. Prezentacja obszarów dotyczących Zintegrowanego Systemu Dziedzinowego musi zostać przeprowadzona w przypadku, jeżeli Wykonawca skorzystał z możliwości dostawy całego Zintegrowanego Systemy Dziedzinowego na zasadzie równoważności w stosunku do modernizacji istniejącego systemu dziedzinowego.</w:t>
      </w:r>
    </w:p>
    <w:p w:rsidR="00B328AF" w:rsidRPr="00514AC2" w:rsidRDefault="00B328AF" w:rsidP="00BF3BE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 xml:space="preserve">Wykonawca zostanie poinformowany o terminie prezentacji z minimum </w:t>
      </w:r>
      <w:r w:rsidRPr="00514AC2">
        <w:rPr>
          <w:rFonts w:ascii="Tw Cen MT" w:hAnsi="Tw Cen MT" w:cs="Tw Cen MT"/>
          <w:color w:val="000000"/>
        </w:rPr>
        <w:br/>
        <w:t>5 dniowym wyprzedzeniem.</w:t>
      </w:r>
    </w:p>
    <w:p w:rsidR="00B328AF" w:rsidRPr="00514AC2" w:rsidRDefault="00B328AF" w:rsidP="001C7E3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 xml:space="preserve">Zamawiający przygotuje na potrzeby demonstracji odpowiednie pomieszczenie </w:t>
      </w:r>
      <w:r w:rsidRPr="00514AC2">
        <w:rPr>
          <w:rFonts w:ascii="Tw Cen MT" w:hAnsi="Tw Cen MT" w:cs="Tw Cen MT"/>
          <w:color w:val="000000"/>
        </w:rPr>
        <w:br/>
        <w:t>z dostępem do Internetu.</w:t>
      </w:r>
    </w:p>
    <w:p w:rsidR="00B328AF" w:rsidRPr="00514AC2" w:rsidRDefault="00B328AF" w:rsidP="00BF3BE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 xml:space="preserve">Demonstracja będzie przeprowadzane jawnie w wyznaczonym terminie </w:t>
      </w:r>
      <w:r w:rsidRPr="00514AC2">
        <w:rPr>
          <w:rFonts w:ascii="Tw Cen MT" w:hAnsi="Tw Cen MT" w:cs="Tw Cen MT"/>
          <w:color w:val="000000"/>
        </w:rPr>
        <w:br/>
        <w:t>w godzinach od 8:30 do 15:00 w siedzibie Zamawiającego na sprzęcie Wykonawcy.</w:t>
      </w:r>
    </w:p>
    <w:p w:rsidR="00B328AF" w:rsidRPr="00514AC2" w:rsidRDefault="00B328AF" w:rsidP="001C7E3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 xml:space="preserve">Na wniosek Wykonawcy Zamawiający może udostępnić mu pomieszczenie, </w:t>
      </w:r>
      <w:r w:rsidRPr="00514AC2">
        <w:rPr>
          <w:rFonts w:ascii="Tw Cen MT" w:hAnsi="Tw Cen MT" w:cs="Tw Cen MT"/>
          <w:color w:val="000000"/>
        </w:rPr>
        <w:br/>
        <w:t xml:space="preserve">w którym będzie prowadzona demonstracja celem przygotowania się do niej </w:t>
      </w:r>
      <w:r w:rsidRPr="00514AC2">
        <w:rPr>
          <w:rFonts w:ascii="Tw Cen MT" w:hAnsi="Tw Cen MT" w:cs="Tw Cen MT"/>
          <w:color w:val="000000"/>
        </w:rPr>
        <w:br/>
        <w:t>w godz. od 7:30 do 8:30 w dniu demonstracji.</w:t>
      </w:r>
    </w:p>
    <w:p w:rsidR="00B328AF" w:rsidRPr="00514AC2" w:rsidRDefault="00B328AF" w:rsidP="001C7E3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Wykonawca zapewnia niezbędny sprzęt do demonstracji (komputer z rzutnikiem multimedialnym) oraz skonfigurowany do prezentacji oferowany system.</w:t>
      </w:r>
    </w:p>
    <w:p w:rsidR="00B328AF" w:rsidRPr="00514AC2" w:rsidRDefault="00B328AF" w:rsidP="001C7E3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 xml:space="preserve">W czasie demonstracji osoby demonstrujące system informatyczny muszą posiadać pełnomocnictwo udzielone przez Wykonawcę do przeprowadzenia demonstracji u Zamawiającego. Pełnomocnictwo może wynikać z dokumentów złożonych w ofercie lub może być doręczone Zamawiającemu przed rozpoczęciem prezentacji (oryginał lub kopia poświadczona za zgodność </w:t>
      </w:r>
      <w:r w:rsidRPr="00514AC2">
        <w:rPr>
          <w:rFonts w:ascii="Tw Cen MT" w:hAnsi="Tw Cen MT" w:cs="Tw Cen MT"/>
          <w:color w:val="000000"/>
        </w:rPr>
        <w:br/>
        <w:t>z oryginałem przez notariusza).</w:t>
      </w:r>
    </w:p>
    <w:p w:rsidR="00B328AF" w:rsidRPr="00514AC2" w:rsidRDefault="00B328AF" w:rsidP="001C7E3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Ze strony Zamawiającego podczas demonstracji będą obecni członkowie Komisji Przetargowej powołanej przez Zamawiającego.</w:t>
      </w:r>
    </w:p>
    <w:p w:rsidR="00B328AF" w:rsidRPr="00514AC2" w:rsidRDefault="00B328AF" w:rsidP="001C7E3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Wykonawca może korzystać z pomocy technicznej podczas prowadzenia demonstracji.</w:t>
      </w:r>
    </w:p>
    <w:p w:rsidR="00B328AF" w:rsidRPr="00514AC2" w:rsidRDefault="00B328AF" w:rsidP="001C7E3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W przypadku wystąpienia błędu oprogramowania dopuszcza się wykonanie odpowiednich modyfikacji celem usunięcia błędu. Czas przerw przeznaczonych na usunięcie błędów nie wydłuża czasu przeznaczonego na demonstrację.</w:t>
      </w:r>
    </w:p>
    <w:p w:rsidR="00B328AF" w:rsidRPr="00514AC2" w:rsidRDefault="00B328AF" w:rsidP="001C7E3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Przez błąd Zamawiający rozumie nieprawidłowe funkcjonowanie oprogramowania przejawiające się w niemożności wykonania określonego działania/operacji wymaganych w scenariuszach opisanych w niniejszym dokumencie lub utrudnieniom w jej wykonaniu spowodowanych przez niestabilność oferowanego rozwiązania.</w:t>
      </w:r>
    </w:p>
    <w:p w:rsidR="00B328AF" w:rsidRPr="00514AC2" w:rsidRDefault="00B328AF" w:rsidP="00D2429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Wykonawca może zostać poproszony o zmianę danych wejściowych wprowadzonych do systemów informatycznych na inne dla danej funkcjonalności w celu weryfikacji zachowania systemu.</w:t>
      </w:r>
    </w:p>
    <w:p w:rsidR="00B328AF" w:rsidRPr="00514AC2" w:rsidRDefault="00B328AF" w:rsidP="00D2429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Przykładowe dane, którymi Wykonawca będzie się posługiwał podczas demonstracji, nie mogą naruszać przepisów ustawy z dnia 29 sierpnia 1997 r. o ochronie danych osobowych (Dz.U. 2016 poz. 922). W przypadku naruszenia przepisów przedmiotowej ustawy Wykonawca ponosi całkowitą odpowiedzialność.</w:t>
      </w:r>
    </w:p>
    <w:p w:rsidR="00B328AF" w:rsidRPr="00514AC2" w:rsidRDefault="00B328AF" w:rsidP="00D2429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Wystąpienie ewentualnej awarii sprzętowej nie będzie traktowane jako dysfunkcjonalność systemów informatycznych. W takim przypadku dopuszcza się możliwość przedłużenia czasu demonstracji ponad wyznaczony czas lub dokończenia demonstracji w dniu następnym.</w:t>
      </w:r>
    </w:p>
    <w:p w:rsidR="00B328AF" w:rsidRPr="00514AC2" w:rsidRDefault="00B328AF" w:rsidP="00D2429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Jeżeli podczas demonstracji wystąpi błąd, który nie będzie możliwy do naprawienia, demonstracja zostanie zakończona i uznana za niezgodną z SIWZ. W takiej sytuacji oferta tego Wykonawcy zostanie odrzucona na podstawie art. 89 ust. 1 pkt. 2 ustawy Prawo zamówień publicznych, ponieważ jej treść nie odpowiada treści Specyfikacji Istotnych Warunków Zamówienia.</w:t>
      </w:r>
    </w:p>
    <w:p w:rsidR="00B328AF" w:rsidRPr="00514AC2" w:rsidRDefault="00B328AF" w:rsidP="00D2429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Zamawiający zastrzega sobie możliwość utrwalania na sprzęcie audiowizualnym przebiegu demonstracji.</w:t>
      </w:r>
    </w:p>
    <w:p w:rsidR="00B328AF" w:rsidRPr="00514AC2" w:rsidRDefault="00B328AF" w:rsidP="00D2429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Zamawiający sporządzi pisemny protokół z przebiegu demonstracji, który będzie załącznikiem do protokołu postępowania. W protokole z demonstracji Zamawiający odnotuje czy Wykonawca zrealizował każdy z kroków przewidzianych dla poszczególnych scenariuszy.</w:t>
      </w:r>
      <w:r w:rsidRPr="00514AC2">
        <w:rPr>
          <w:color w:val="000000"/>
          <w:highlight w:val="yellow"/>
        </w:rPr>
        <w:t xml:space="preserve"> </w:t>
      </w:r>
    </w:p>
    <w:p w:rsidR="00B328AF" w:rsidRPr="00514AC2" w:rsidRDefault="00B328AF" w:rsidP="00AE039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Niniejszy opis scenariuszy testowych nie zastępuje Szczegółowego Opisu Przedmiotu Zamówienia stanowiącego Załącznik nr 1 do SIWZ. Wymagania Szczegółowego Opis Przedmiotu Zamówienia obowiązują w trakcie demonstracji, tzn. sposób realizacji elementów scenariusza musi być z nim spójny i musi potwierdzać spełnienie wymagań Szczegółowego Opis Przedmiotu Zamówienia w zakresie odpowiednim dla elementu scenariusza.</w:t>
      </w:r>
      <w:r w:rsidRPr="00514AC2">
        <w:rPr>
          <w:color w:val="000000"/>
        </w:rPr>
        <w:t xml:space="preserve"> </w:t>
      </w:r>
      <w:r w:rsidRPr="00514AC2">
        <w:rPr>
          <w:rFonts w:ascii="Tw Cen MT" w:hAnsi="Tw Cen MT" w:cs="Tw Cen MT"/>
          <w:color w:val="000000"/>
        </w:rPr>
        <w:t>Wykonawca  zobowiązany  jest  do udzielenia  Zamawiającemu  wszelkich  wyjaśnień  umożliwiających  zbadanie,  czy  oferowane systemy informatyczne  posiadają  wymagane  cechy  i funkcjonalności określone w Szczegółowym Opisie Przedmiotu Zamówienia.  Badanie  systemów informatycznych  będzie  prowadzone  do  momentu  wyczerpania pytań Zamawiającego.</w:t>
      </w:r>
    </w:p>
    <w:p w:rsidR="00B328AF" w:rsidRPr="00514AC2" w:rsidRDefault="00B328AF" w:rsidP="00BF3BE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>W przypadku, gdy Wykonawca nie stawi się na demonstrację lub odmówi jej przeprowadzenia, nie przeprowadzi demonstracji lub nie zostanie zademonstrowany co najmniej jeden krok, który należy zrealizować zgodnie z przedstawionymi scenariuszami w niniejszym Załączniku, wówczas oferta tego Wykonawcy zostanie odrzucona na podstawie art. 89 ust. 1 pkt. 2 ustawy Prawo zamówień publicznych, ponieważ jej treść nie odpowiada treści Specyfikacji Istotnych Warunków Zamówienia. W takim przypadku, Zamawiający wezwie na przeprowadzenie demonstracji Wykonawcę, którego oferta została oceniona jako najkorzystniejsza spośród pozostałych ofert.</w:t>
      </w:r>
    </w:p>
    <w:p w:rsidR="00B328AF" w:rsidRPr="00514AC2" w:rsidRDefault="00B328AF" w:rsidP="00CE301C">
      <w:pPr>
        <w:pStyle w:val="Heading1"/>
        <w:rPr>
          <w:color w:val="000000"/>
        </w:rPr>
      </w:pPr>
      <w:bookmarkStart w:id="4" w:name="_Toc513557968"/>
      <w:r w:rsidRPr="00B47417">
        <w:rPr>
          <w:b/>
          <w:bCs/>
          <w:color w:val="000000"/>
          <w:u w:val="single"/>
        </w:rPr>
        <w:t>Scenariusz nr 1</w:t>
      </w:r>
      <w:r w:rsidRPr="00514AC2">
        <w:rPr>
          <w:color w:val="000000"/>
        </w:rPr>
        <w:t xml:space="preserve"> w zakresie </w:t>
      </w:r>
      <w:bookmarkEnd w:id="1"/>
      <w:bookmarkEnd w:id="2"/>
      <w:r w:rsidRPr="00514AC2">
        <w:rPr>
          <w:color w:val="000000"/>
        </w:rPr>
        <w:t>centralnej platformy e-usług mieszkańca.</w:t>
      </w:r>
      <w:bookmarkEnd w:id="4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33"/>
      </w:tblGrid>
      <w:tr w:rsidR="00B328AF" w:rsidRPr="00514AC2">
        <w:trPr>
          <w:trHeight w:val="636"/>
          <w:jc w:val="center"/>
        </w:trPr>
        <w:tc>
          <w:tcPr>
            <w:tcW w:w="534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Lp.</w:t>
            </w:r>
          </w:p>
        </w:tc>
        <w:tc>
          <w:tcPr>
            <w:tcW w:w="8533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Kroki do wykonania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w roli mieszkańca loguje się do systemu.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Wyszukać i sprawdzić stan należności. Dane muszą prezentować minimum: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tytuł należności (opłata z tytułu podatku, opłata za gospodarowanie odpadami itp.),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odsetki,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koszty upomnienia,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termin płatności,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kwoty zlecone do zapłacenia przez portal.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dodatkowe dane należności: nr decyzji (jeśli występuje), koszty wezwań, czy wystawiony jest tytuł wykonawczy, ile było wpłat na daną należność.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Wyszukać należności i sprawdzić możliwość filtrowania wg rodzaju, daty, terminu płatności.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Wybrać należność do opłacenia.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Jako formę płatności zastosować wydruk polecenia przelewu do zastosowania w banku lub na poczcie.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Sprawdzić, czy druk jest wypełniony prawidłowo.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Wybrać kolejną należność posiadającą współzobowiązanych.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Wyświetlić dane współzobowiązanych (imię, nazwisko, adres).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10.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Wybrać tę należność do opłacenia w trybie online.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płatność (w przypadku braku możliwości wykonania wirtualnej wpłaty można posłużyć się np. prezentacją multimedialną).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12.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Dokonać przeglądu wykonanych operacji księgowych na płatnościach już zrealizowanych: wpłaty, zwroty, przeksięgowania z wyszczególnionym dla każdej operacji co najmniej: jej rodzaju, konta bankowego na którym została zaksięgowana operacja, identyfikator, rok, rata, kwota, vat, odsetki, kwota zapłacona faktycznie, data i godzina przelewu.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13.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ponowną próbę dokonania płatności na tę samą należność: sprawdzić, czy system prawidłowo nie dopuści do zapłacenia ponownie za tę samą należność.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14.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raport o należnościach z określeniem parametrów: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rodzaju należności,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podziału na opłacone, nieopłacone,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przedziałem dat z terminem płatności,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kwoty.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15.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Wylogować się z systemu.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16.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Zalogować się jako administrator (urząd).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17.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Wyświetlić historię wszystkich interakcji finansowych mieszkańca z urzędem, jakie zostały zrealizowane poprzez system.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18.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Ustawić datę lub ilość dni przed terminem płatności, która spowoduje wysłanie informacji przypominającej.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19.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Ustawić formę przypomnienia (SMS, email).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20.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wyszukiwania użytkowników i sortowania wg minimum nazwy / nazwiska, imienia, miejscowości, ulicy, PESEL.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dodanie grupy użytkowników i dodanie użytkowników do tej grupy.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22.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ustawienia pośrednika płatności.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23.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Ustawić i zapisać zadanie wsadowe do wykonania, np. pobieranie informacji o stanie płatności.</w:t>
            </w:r>
          </w:p>
        </w:tc>
      </w:tr>
      <w:tr w:rsidR="00B328AF" w:rsidRPr="00514AC2">
        <w:trPr>
          <w:jc w:val="center"/>
        </w:trPr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24.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Wylogować się z systemu.</w:t>
            </w:r>
          </w:p>
        </w:tc>
      </w:tr>
    </w:tbl>
    <w:p w:rsidR="00B328AF" w:rsidRPr="00514AC2" w:rsidRDefault="00B328AF" w:rsidP="00CE301C">
      <w:pPr>
        <w:rPr>
          <w:color w:val="000000"/>
        </w:rPr>
      </w:pPr>
    </w:p>
    <w:p w:rsidR="00B328AF" w:rsidRPr="00514AC2" w:rsidRDefault="00B328AF" w:rsidP="00CE301C">
      <w:pPr>
        <w:pStyle w:val="Heading1"/>
        <w:rPr>
          <w:color w:val="000000"/>
        </w:rPr>
      </w:pPr>
      <w:bookmarkStart w:id="5" w:name="_Toc488187810"/>
      <w:bookmarkStart w:id="6" w:name="_Toc513557969"/>
      <w:r w:rsidRPr="00B47417">
        <w:rPr>
          <w:b/>
          <w:bCs/>
          <w:color w:val="000000"/>
          <w:u w:val="single"/>
        </w:rPr>
        <w:t>Scenariusz nr 2</w:t>
      </w:r>
      <w:r w:rsidRPr="00514AC2">
        <w:rPr>
          <w:color w:val="000000"/>
        </w:rPr>
        <w:t xml:space="preserve"> w zakresie EOD. Rejestracja pisma wraz z załącznikami.</w:t>
      </w:r>
      <w:bookmarkEnd w:id="5"/>
      <w:bookmarkEnd w:id="6"/>
    </w:p>
    <w:p w:rsidR="00B328AF" w:rsidRPr="00514AC2" w:rsidRDefault="00B328AF" w:rsidP="00CE301C">
      <w:pPr>
        <w:spacing w:line="360" w:lineRule="auto"/>
        <w:jc w:val="both"/>
        <w:rPr>
          <w:rFonts w:ascii="Tw Cen MT" w:hAnsi="Tw Cen MT" w:cs="Tw Cen MT"/>
          <w:color w:val="000000"/>
        </w:rPr>
      </w:pPr>
      <w:r w:rsidRPr="00514AC2">
        <w:rPr>
          <w:rFonts w:ascii="Tw Cen MT" w:hAnsi="Tw Cen MT" w:cs="Tw Cen MT"/>
          <w:color w:val="000000"/>
        </w:rPr>
        <w:t xml:space="preserve">Dla umożliwienia prawidłowego wykonania scenariusza Wykonawca przygotuje </w:t>
      </w:r>
      <w:r w:rsidRPr="00514AC2">
        <w:rPr>
          <w:rFonts w:ascii="Tw Cen MT" w:hAnsi="Tw Cen MT" w:cs="Tw Cen MT"/>
          <w:color w:val="000000"/>
        </w:rPr>
        <w:br/>
        <w:t xml:space="preserve">i dostarczy Zamawiającemu cztery pisma adresowane bezpośrednio do Burmistrza </w:t>
      </w:r>
      <w:r w:rsidRPr="00514AC2">
        <w:rPr>
          <w:rFonts w:ascii="Tw Cen MT" w:hAnsi="Tw Cen MT" w:cs="Tw Cen MT"/>
          <w:color w:val="000000"/>
        </w:rPr>
        <w:br/>
        <w:t xml:space="preserve">z trzema załącznikami każde (dwa zestawy dokumentów w formie elektronicznej zapisane w formacie pliku RTF lub PDF na nośniku typu pendrive, dwa zestawy dokumentów w formie tradycyjnej czyli papierowej) w celu próbkowania rejestracji (dwa pisma powinny być pismami osoby fizycznej - klienta nowego, tj. niezarejestrowanego w bazie klientów, dwa kolejne – pismami firmy - klienta już zarejestrowanego w bazie). </w:t>
      </w:r>
    </w:p>
    <w:tbl>
      <w:tblPr>
        <w:tblW w:w="90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33"/>
      </w:tblGrid>
      <w:tr w:rsidR="00B328AF" w:rsidRPr="00514AC2">
        <w:trPr>
          <w:trHeight w:val="636"/>
        </w:trPr>
        <w:tc>
          <w:tcPr>
            <w:tcW w:w="534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Lp.</w:t>
            </w:r>
          </w:p>
        </w:tc>
        <w:tc>
          <w:tcPr>
            <w:tcW w:w="8533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Kroki do wykonania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Zalogować się w systemie jako pracownik kancelarii Urzędu.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Przejść do funkcji rejestracji nowego pisma.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Wprowadzić dwa z wspomnianych na wstępie scenariusza zestawów (scenariusz dla nowego klienta będącego osobą fizyczną):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zestaw w formie papierowej do systemu poprzez:</w:t>
            </w:r>
          </w:p>
          <w:p w:rsidR="00B328AF" w:rsidRPr="00514AC2" w:rsidRDefault="00B328AF" w:rsidP="00E44733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ind w:left="1080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Wprowadzenie nadawcy – dane osobowe przygotowane przez Wykonawcę – z wykorzystaniem podpowiedzi miejscowości i ulicy występującej w danej miejscowości ze słownika.</w:t>
            </w:r>
          </w:p>
          <w:p w:rsidR="00B328AF" w:rsidRPr="00514AC2" w:rsidRDefault="00B328AF" w:rsidP="00E44733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ind w:left="1080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Wprowadzenie opisu treści pisma: opis przygotowany przez Wykonawcę;</w:t>
            </w:r>
          </w:p>
          <w:p w:rsidR="00B328AF" w:rsidRPr="00514AC2" w:rsidRDefault="00B328AF" w:rsidP="00E44733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ind w:left="1080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Wykonanie skanowania pisma przygotowanego w formie papierowej i wprowadzenie do systemu zeskanowanego pisma (obie czynności wykonane bezpośrednio z systemu obiegu dokumentów. </w:t>
            </w:r>
          </w:p>
          <w:p w:rsidR="00B328AF" w:rsidRPr="00514AC2" w:rsidRDefault="00B328AF" w:rsidP="00E44733">
            <w:pPr>
              <w:pStyle w:val="ListParagraph"/>
              <w:numPr>
                <w:ilvl w:val="1"/>
                <w:numId w:val="6"/>
              </w:numPr>
              <w:spacing w:after="0" w:line="360" w:lineRule="auto"/>
              <w:ind w:left="1080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Wprowadzenie 3 załączników do pisma poprzez ich zeskanowanie z dokonaniem ich opisu: opisy przygotowane przez Wykonawcę.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60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zestaw w formie elektronicznej do systemu poprzez: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Wprowadzenie do systemu pisma przygotowanego w formie elektronicznej wraz z opisem przygotowanym przez Wykonawcę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Wprowadzenie 3 załączników w formie elektronicznej do pisma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dokonaniem ich opisu: opisy przygotowane przez Wykonawcę.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Wprowadzić dwa kolejne przygotowane zestawy (scenariusz dla klienta zarejestrowanego w bazie klientów jako podmiot gospodarczy):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zestaw w formie papierowej do systemu poprzez: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Wyszukanie nadawcy – z wykorzystaniem wyszukiwania po lokalizacji siedziby klienta;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Wprowadzenie opisu treści pisma: opis przygotowany przez Wykonawcę;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Wykonanie skanowania pisma przygotowanego w formie papierowej i wprowadzenie do systemu zeskanowanego pisma; 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Wprowadzenie 3 załączników do pisma z dokonaniem ich opisu: opisy przygotowane przez Wykonawcę.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zestaw w formie elektronicznej do systemu poprzez: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Wprowadzenie do systemu elektronicznej wersji pisma przygotowanego w formie elektronicznej wraz z opisem przygotowanym przez Wykonawcę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Wprowadzenie 3 załączników w formie elektronicznej do pisma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dokonaniem ich opisu: opisy przygotowane przez Wykonawcę.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Po dokonaniu rejestracji pism przejść do dziennika korespondencji przychodzącej i sprawdzić poprawność wpisów w odpowiednich komórkach dziennika.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Wydrukować dla obydwu klientów potwierdzenie złożenia pisma wraz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załącznikami z nadrukowanym kodem kreskowym (dotyczy bieżącego scenariusza) zawierającym: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oznaczenie nadawcy (imię i nazwisko/nazwa, pełen adres zamieszkania/siedziba),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numer z dziennika korespondencji przychodzącej,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data i godzina wpływu,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ilość załączników.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Przejść do funkcji wyszukania pisma.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Czytnikiem kodów kreskowych zeskanować kod kreskowy na potwierdzeniu złożenia pisma i odszukać pismo. Sprawdzić czy pismo zostało prawidłowo wyszukane w dzienniku korespondencji przychodzącej – dla minimum dwóch pism.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Przekazać pisma do dekretacji Dyrektorowi Wydziału (dwa pisma pojedynczo, dwa pisma hurtowo).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10.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dokonywania edycji istniejącego wpisu w dzienniku korespondencji przychodzącej oraz możliwość edycji zarejestrowanego pisma po wykonaniu jego dekretacji - przez uprawnionego użytkownika.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Wylogować się.</w:t>
            </w:r>
          </w:p>
        </w:tc>
      </w:tr>
    </w:tbl>
    <w:p w:rsidR="00B328AF" w:rsidRPr="00514AC2" w:rsidRDefault="00B328AF" w:rsidP="00CE301C">
      <w:pPr>
        <w:pStyle w:val="Heading1"/>
        <w:rPr>
          <w:color w:val="000000"/>
        </w:rPr>
      </w:pPr>
      <w:bookmarkStart w:id="7" w:name="_Toc488187811"/>
      <w:bookmarkStart w:id="8" w:name="_Toc513557970"/>
      <w:r w:rsidRPr="00B47417">
        <w:rPr>
          <w:b/>
          <w:bCs/>
          <w:color w:val="000000"/>
          <w:u w:val="single"/>
        </w:rPr>
        <w:t>Scenariusz nr 3</w:t>
      </w:r>
      <w:r w:rsidRPr="00514AC2">
        <w:rPr>
          <w:color w:val="000000"/>
        </w:rPr>
        <w:t xml:space="preserve"> w zakresie EOD. Dekretacja pism</w:t>
      </w:r>
      <w:bookmarkEnd w:id="7"/>
      <w:r w:rsidRPr="00514AC2">
        <w:rPr>
          <w:color w:val="000000"/>
        </w:rPr>
        <w:t>.</w:t>
      </w:r>
      <w:bookmarkEnd w:id="8"/>
    </w:p>
    <w:tbl>
      <w:tblPr>
        <w:tblW w:w="90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33"/>
      </w:tblGrid>
      <w:tr w:rsidR="00B328AF" w:rsidRPr="00514AC2">
        <w:trPr>
          <w:trHeight w:val="636"/>
        </w:trPr>
        <w:tc>
          <w:tcPr>
            <w:tcW w:w="534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Lp.</w:t>
            </w:r>
          </w:p>
        </w:tc>
        <w:tc>
          <w:tcPr>
            <w:tcW w:w="8533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Kroki do wykonania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 xml:space="preserve">Zalogować się w systemie obiegu dokumentów jako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t>Dyrektor Wydziału.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Przejść do funkcji dekretacji pisma.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Zadekretować jedno pismo do trzech referatów z zaznaczeniem jednej komórki wiodącej i dwóch komórek współpracujących.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Przejść do funkcji dekretacji pism.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Zaznaczyć pozostałe pisma i zadekretować hurtowo do różnych wydziałów (do dwóch wydziałów po dwa pisma).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Zalogować się w systemie obiegu dokumentów jako kierownik referatu wskazanego przy dekretacji jako wiodący.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Dokonać zwrotu zadekretowanego pisma z komórki wiodącej.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Zalogować się w systemie obiegu dokumentów jako kierownik referatu wskazanego przy dekretacji jako pierwsza współpracujący, a następnie jako drugi współpracujący i sprawdzić poprawność wpisów.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 xml:space="preserve">Zalogować się w systemie jako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t>Dyrektor Wydziału</w:t>
            </w: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10.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 xml:space="preserve">Ponownie zadekretować zwrócone pismo do tych samych trzech referatów </w:t>
            </w:r>
            <w:r w:rsidRPr="00514AC2">
              <w:rPr>
                <w:rFonts w:ascii="Tw Cen MT" w:eastAsia="Calibri,Bold" w:hAnsi="Tw Cen MT"/>
                <w:color w:val="000000"/>
                <w:lang w:eastAsia="pl-PL"/>
              </w:rPr>
              <w:br/>
            </w: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 zaznaczeniem innej komórki jako wiodącej.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Zalogować się w systemie obiegu dokumentów jako kierownik referatu wskazanego przy dekretacji jako pierwszy współpracujący.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12.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Dokonać zwrotu zadekretowanego pisma z referatu współpracującego.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13.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Zalogować się w systemie obiegu dokumentów jako kierownik referatu wskazanego przy dekretacji jako wiodący, a następnie jako drugi współpracujący i sprawdzić poprawność wpisów.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14.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Zalogować się do systemie obiegu dokumentów jako kierownicy pozostałych referatów i dokonać odbioru pozostałych pism dekretowanych hurtowo.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15.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 xml:space="preserve">Zalogować się w systemie obiegu dokumentów jako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t>Dyrektor Wydziału.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16.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Sprawdzić poprawność wpisów 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17.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 xml:space="preserve">Zalogować się w systemie obiegu dokumentów jako pracownik Kancelarii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t>Urzędu.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18.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Bez wylogowywania wejść na konto osoby zastępowanej i sprawdzić czy posiada ona pisma niezakończone.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19.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Powtórnie wejść na widok „swojego” konta.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20.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 xml:space="preserve">Sprawdzić poprawność wpisów oraz informacje „historyczne” zawarte </w:t>
            </w:r>
            <w:r w:rsidRPr="00514AC2">
              <w:rPr>
                <w:rFonts w:ascii="Tw Cen MT" w:eastAsia="Calibri,Bold" w:hAnsi="Tw Cen MT"/>
                <w:color w:val="000000"/>
                <w:lang w:eastAsia="pl-PL"/>
              </w:rPr>
              <w:br/>
            </w: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w odpowiedniej kolumnie o dokonanych operacjach z poziomu dziennika korespondencji przychodzącej.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Wylogować się.</w:t>
            </w:r>
          </w:p>
        </w:tc>
      </w:tr>
    </w:tbl>
    <w:p w:rsidR="00B328AF" w:rsidRPr="00514AC2" w:rsidRDefault="00B328AF" w:rsidP="00CE301C">
      <w:pPr>
        <w:rPr>
          <w:color w:val="000000"/>
        </w:rPr>
      </w:pPr>
    </w:p>
    <w:p w:rsidR="00B328AF" w:rsidRPr="00514AC2" w:rsidRDefault="00B328AF" w:rsidP="00CE301C">
      <w:pPr>
        <w:pStyle w:val="Heading1"/>
        <w:rPr>
          <w:color w:val="000000"/>
        </w:rPr>
      </w:pPr>
      <w:bookmarkStart w:id="9" w:name="_Toc488187812"/>
      <w:bookmarkStart w:id="10" w:name="_Toc513557971"/>
      <w:r w:rsidRPr="00B47417">
        <w:rPr>
          <w:b/>
          <w:bCs/>
          <w:color w:val="000000"/>
          <w:u w:val="single"/>
        </w:rPr>
        <w:t>Scenariusz nr 4</w:t>
      </w:r>
      <w:r w:rsidRPr="00514AC2">
        <w:rPr>
          <w:color w:val="000000"/>
        </w:rPr>
        <w:t xml:space="preserve"> w zakresie EOD. Zakładanie spraw</w:t>
      </w:r>
      <w:bookmarkEnd w:id="9"/>
      <w:r w:rsidRPr="00514AC2">
        <w:rPr>
          <w:color w:val="000000"/>
        </w:rPr>
        <w:t>.</w:t>
      </w:r>
      <w:bookmarkEnd w:id="10"/>
    </w:p>
    <w:tbl>
      <w:tblPr>
        <w:tblW w:w="90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33"/>
      </w:tblGrid>
      <w:tr w:rsidR="00B328AF" w:rsidRPr="00514AC2">
        <w:trPr>
          <w:trHeight w:val="636"/>
        </w:trPr>
        <w:tc>
          <w:tcPr>
            <w:tcW w:w="534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Lp.</w:t>
            </w:r>
          </w:p>
        </w:tc>
        <w:tc>
          <w:tcPr>
            <w:tcW w:w="8533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Kroki do wykonania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w Cen MT" w:eastAsia="Calibri,Bold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Zalogować się w systemie jako użytkownik z uprawnieniami do zakładania sprawy.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w Cen MT" w:eastAsia="Calibri,Bold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Odebrać pismo po dekretacji i założyć nową sprawę: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wybrać numer z JRWA uwzględniający symbol komórki i osoby,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przygotować projekt odpowiedzi na podstawie wytycznych opracowanych przez Wykonawcę.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w Cen MT" w:eastAsia="Calibri,Bold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 xml:space="preserve">Przeprowadzić wielostanowiskową akceptację projektu odpowiedzi </w:t>
            </w:r>
            <w:r w:rsidRPr="00514AC2">
              <w:rPr>
                <w:rFonts w:ascii="Tw Cen MT" w:eastAsia="Calibri,Bold" w:hAnsi="Tw Cen MT"/>
                <w:color w:val="000000"/>
                <w:lang w:eastAsia="pl-PL"/>
              </w:rPr>
              <w:br/>
            </w: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 uwzględnieniem hierarchii stanowisk w następującej kolejności działań: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przekazać projekt odpowiedzi do bezpośredniego przełożonego w celu akceptacji,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przekazać zaakceptowany projekt odpowiedzi do Kierownika Wydziału.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odebrać pismo od Kierownika Wydziału z naniesionymi uwagami dotyczącymi konieczności wprowadzenia zmian.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Wprowadzić zmiany w projekcie pisma uwzględniając naniesione uwagi.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w Cen MT" w:eastAsia="Calibri,Bold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Zakończyć sprawę: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powtórzyć opisaną w pkt. 3 wielostanowiskową akceptację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zatwierdzeniem przez Kierownika Wydziału z użyciem certyfikatu kwalifikowanego,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przygotować pismo do wysyłki (z podpisem elektronicznym i z podpisem ręcznym),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przekazanie pisma do Kancelarii Urzędu.</w:t>
            </w:r>
          </w:p>
          <w:p w:rsidR="00B328AF" w:rsidRPr="00514AC2" w:rsidRDefault="00B328AF" w:rsidP="00E44733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w Cen MT" w:eastAsia="Calibri,Bold" w:hAnsi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zakończenie sprawy w systemie obiegu dokumentów.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w Cen MT" w:eastAsia="Calibri,Bold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 xml:space="preserve">Zalogować się jako pracownik Kancelarii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t>Urzędu</w:t>
            </w: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 xml:space="preserve"> i sprawdzić poprawność wpisów w dzienniku korespondencji przychodzącej.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eastAsia="Calibri,Bold" w:hAnsi="Tw Cen MT" w:cs="Tw Cen MT"/>
                <w:color w:val="000000"/>
                <w:lang w:eastAsia="pl-PL"/>
              </w:rPr>
              <w:t>Wylogować się.</w:t>
            </w:r>
          </w:p>
        </w:tc>
      </w:tr>
    </w:tbl>
    <w:p w:rsidR="00B328AF" w:rsidRPr="00514AC2" w:rsidRDefault="00B328AF">
      <w:pPr>
        <w:rPr>
          <w:color w:val="000000"/>
          <w:sz w:val="32"/>
          <w:szCs w:val="32"/>
        </w:rPr>
      </w:pPr>
      <w:bookmarkStart w:id="11" w:name="_Toc488187813"/>
    </w:p>
    <w:p w:rsidR="00B328AF" w:rsidRPr="00514AC2" w:rsidRDefault="00B328AF" w:rsidP="00CE301C">
      <w:pPr>
        <w:pStyle w:val="Heading1"/>
        <w:rPr>
          <w:color w:val="000000"/>
        </w:rPr>
      </w:pPr>
      <w:bookmarkStart w:id="12" w:name="_Toc513557972"/>
      <w:r w:rsidRPr="00B47417">
        <w:rPr>
          <w:b/>
          <w:bCs/>
          <w:color w:val="000000"/>
          <w:u w:val="single"/>
        </w:rPr>
        <w:t>Scenariusz nr 5</w:t>
      </w:r>
      <w:r w:rsidRPr="00514AC2">
        <w:rPr>
          <w:color w:val="000000"/>
        </w:rPr>
        <w:t xml:space="preserve"> w zakresie EOD. Obsługa raportów – pisma przekazane</w:t>
      </w:r>
      <w:bookmarkEnd w:id="11"/>
      <w:r w:rsidRPr="00514AC2">
        <w:rPr>
          <w:color w:val="000000"/>
        </w:rPr>
        <w:t>.</w:t>
      </w:r>
      <w:bookmarkEnd w:id="12"/>
    </w:p>
    <w:tbl>
      <w:tblPr>
        <w:tblW w:w="90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33"/>
      </w:tblGrid>
      <w:tr w:rsidR="00B328AF" w:rsidRPr="00514AC2">
        <w:trPr>
          <w:trHeight w:val="636"/>
        </w:trPr>
        <w:tc>
          <w:tcPr>
            <w:tcW w:w="534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276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Lp.</w:t>
            </w:r>
          </w:p>
        </w:tc>
        <w:tc>
          <w:tcPr>
            <w:tcW w:w="8533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276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Kroki do wykonania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Zalogować się w systemie jako pracownik Kancelarii.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Wejść do funkcji Raporty.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 listy dostępnych raportów wybrać raport przedstawiający zestawienie pism przekazanych w danym okresie.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Wybrać okres przetwarzania jako bieżący miesiąc.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Wybrać z dostępnych formatów dokumentów zapis raportu do pliku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w formacie .pdf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Wygenerować raport, wydrukować raport.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na ekranie i wydruku informacje na temat godziny przekazania ostatniego dokumentu.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poprawność zapisów w raporcie.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Wylogować się.</w:t>
            </w:r>
          </w:p>
        </w:tc>
      </w:tr>
    </w:tbl>
    <w:p w:rsidR="00B328AF" w:rsidRPr="00514AC2" w:rsidRDefault="00B328AF" w:rsidP="00CE301C">
      <w:pPr>
        <w:pStyle w:val="Heading1"/>
        <w:rPr>
          <w:color w:val="000000"/>
        </w:rPr>
      </w:pPr>
      <w:bookmarkStart w:id="13" w:name="_Toc488187814"/>
      <w:bookmarkStart w:id="14" w:name="_Toc513557973"/>
      <w:r w:rsidRPr="00B47417">
        <w:rPr>
          <w:b/>
          <w:bCs/>
          <w:color w:val="000000"/>
          <w:u w:val="single"/>
        </w:rPr>
        <w:t>Scenariusz nr 6</w:t>
      </w:r>
      <w:r w:rsidRPr="00514AC2">
        <w:rPr>
          <w:color w:val="000000"/>
        </w:rPr>
        <w:t xml:space="preserve"> w zakresie EOD. Obsługa raportów – dziennik korespondencyjny</w:t>
      </w:r>
      <w:bookmarkEnd w:id="13"/>
      <w:r w:rsidRPr="00514AC2">
        <w:rPr>
          <w:color w:val="000000"/>
        </w:rPr>
        <w:t>.</w:t>
      </w:r>
      <w:bookmarkEnd w:id="14"/>
    </w:p>
    <w:tbl>
      <w:tblPr>
        <w:tblW w:w="90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33"/>
      </w:tblGrid>
      <w:tr w:rsidR="00B328AF" w:rsidRPr="00514AC2">
        <w:trPr>
          <w:trHeight w:val="636"/>
        </w:trPr>
        <w:tc>
          <w:tcPr>
            <w:tcW w:w="534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276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Lp.</w:t>
            </w:r>
          </w:p>
        </w:tc>
        <w:tc>
          <w:tcPr>
            <w:tcW w:w="8533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276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Kroki do wykonania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Zalogować się w systemie jako pracownik Kancelarii.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Wejść do funkcji Raporty.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 listy dostępnych raportów wybrać raport przedstawiający Dziennik Korespondencyjny.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Wybrać okres przetwarzania: ostatnie 14 dni.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Wybrać z dostępnych formatów dokumentów zapis raportu do pliku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w formacie .pdf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Wygenerować raport, wydrukować raport.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na ekranie i wydruku informacje na temat ID ostatnio odebranego dokumentu.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poprawność zapisów w raporcie.</w:t>
            </w:r>
          </w:p>
        </w:tc>
      </w:tr>
      <w:tr w:rsidR="00B328AF" w:rsidRPr="00514AC2">
        <w:tc>
          <w:tcPr>
            <w:tcW w:w="534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9.</w:t>
            </w:r>
          </w:p>
        </w:tc>
        <w:tc>
          <w:tcPr>
            <w:tcW w:w="853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Wylogować się.</w:t>
            </w:r>
          </w:p>
        </w:tc>
      </w:tr>
    </w:tbl>
    <w:p w:rsidR="00B328AF" w:rsidRPr="00514AC2" w:rsidRDefault="00B328AF" w:rsidP="00B8194E">
      <w:pPr>
        <w:pStyle w:val="Heading1"/>
        <w:rPr>
          <w:rFonts w:cs="Times New Roman"/>
          <w:color w:val="000000"/>
        </w:rPr>
      </w:pPr>
      <w:bookmarkStart w:id="15" w:name="_Toc513557974"/>
      <w:r w:rsidRPr="00B47417">
        <w:rPr>
          <w:b/>
          <w:bCs/>
          <w:color w:val="000000"/>
          <w:u w:val="single"/>
        </w:rPr>
        <w:t>Scenariusz nr 7</w:t>
      </w:r>
      <w:r w:rsidRPr="00514AC2">
        <w:rPr>
          <w:color w:val="000000"/>
        </w:rPr>
        <w:t xml:space="preserve"> w zakresie EOD. Zarządzanie aktami spraw w</w:t>
      </w:r>
      <w:r w:rsidRPr="00514AC2">
        <w:rPr>
          <w:rFonts w:cs="Times New Roman"/>
          <w:color w:val="000000"/>
        </w:rPr>
        <w:t> </w:t>
      </w:r>
      <w:r w:rsidRPr="00514AC2">
        <w:rPr>
          <w:color w:val="000000"/>
        </w:rPr>
        <w:t>archiwum zakładowym.</w:t>
      </w:r>
      <w:bookmarkEnd w:id="15"/>
    </w:p>
    <w:tbl>
      <w:tblPr>
        <w:tblW w:w="9082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62"/>
        <w:gridCol w:w="8520"/>
      </w:tblGrid>
      <w:tr w:rsidR="00B328AF" w:rsidRPr="00514AC2">
        <w:trPr>
          <w:trHeight w:hRule="exact" w:val="6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3E070"/>
            <w:vAlign w:val="center"/>
          </w:tcPr>
          <w:p w:rsidR="00B328AF" w:rsidRPr="00514AC2" w:rsidRDefault="00B328AF" w:rsidP="00B8194E">
            <w:pPr>
              <w:spacing w:line="360" w:lineRule="auto"/>
              <w:jc w:val="center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Lp.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E070"/>
            <w:vAlign w:val="center"/>
          </w:tcPr>
          <w:p w:rsidR="00B328AF" w:rsidRPr="00514AC2" w:rsidRDefault="00B328AF" w:rsidP="00B8194E">
            <w:pPr>
              <w:spacing w:line="360" w:lineRule="auto"/>
              <w:jc w:val="center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Kroki do wykonania</w:t>
            </w:r>
          </w:p>
        </w:tc>
      </w:tr>
      <w:tr w:rsidR="00B328AF" w:rsidRPr="00514AC2">
        <w:trPr>
          <w:trHeight w:hRule="exact" w:val="9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1.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DA0AF8">
            <w:pPr>
              <w:spacing w:line="360" w:lineRule="auto"/>
              <w:ind w:right="146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Zalogować się w systemie jako użytkownik z uprawnianiami przekazywania spraw do Archiwum Zakładowego.</w:t>
            </w:r>
          </w:p>
        </w:tc>
      </w:tr>
      <w:tr w:rsidR="00B328AF" w:rsidRPr="00514AC2">
        <w:trPr>
          <w:trHeight w:hRule="exact"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Wejść do funkcji przekazywania akt spraw do Archiwum Zakładowego.</w:t>
            </w:r>
          </w:p>
        </w:tc>
      </w:tr>
      <w:tr w:rsidR="00B328AF" w:rsidRPr="00514AC2">
        <w:trPr>
          <w:trHeight w:hRule="exact" w:val="3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3.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Przygotować dokumentację do przekazania do Archiwum Zakładowego.</w:t>
            </w:r>
          </w:p>
        </w:tc>
      </w:tr>
      <w:tr w:rsidR="00B328AF" w:rsidRPr="00514AC2">
        <w:trPr>
          <w:trHeight w:hRule="exact" w:val="9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Przekazać do Archiwum Zakładowego akta spraw wraz ze spisem zdawczo- odbiorczym.</w:t>
            </w:r>
          </w:p>
        </w:tc>
      </w:tr>
      <w:tr w:rsidR="00B328AF" w:rsidRPr="00514AC2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5.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Wylogować się z konta pracownika merytorycznego.</w:t>
            </w:r>
          </w:p>
        </w:tc>
      </w:tr>
      <w:tr w:rsidR="00B328AF" w:rsidRPr="00514AC2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6.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Zalogować się jako pracownik Archiwum Zakładowego.</w:t>
            </w:r>
          </w:p>
        </w:tc>
      </w:tr>
      <w:tr w:rsidR="00B328AF" w:rsidRPr="00514AC2">
        <w:trPr>
          <w:trHeight w:hRule="exact"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7.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DA0AF8">
            <w:pPr>
              <w:spacing w:line="360" w:lineRule="auto"/>
              <w:ind w:right="146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Udostępnić akta sprawy ze stanu Archiwum Zakładowego pracownikowi merytorycznemu w systemie.</w:t>
            </w:r>
          </w:p>
        </w:tc>
      </w:tr>
      <w:tr w:rsidR="00B328AF" w:rsidRPr="00514AC2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8.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Wylogować się z konta pracownika Archiwum.</w:t>
            </w:r>
          </w:p>
        </w:tc>
      </w:tr>
      <w:tr w:rsidR="00B328AF" w:rsidRPr="00514AC2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9.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Zalogować się na konto pracownika któremu udostępniono akta sprawy archiwalnej.</w:t>
            </w:r>
          </w:p>
        </w:tc>
      </w:tr>
      <w:tr w:rsidR="00B328AF" w:rsidRPr="00514AC2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10.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Sprawdzić dostępność akt udostępnionej sprawy.</w:t>
            </w:r>
          </w:p>
        </w:tc>
      </w:tr>
      <w:tr w:rsidR="00B328AF" w:rsidRPr="00514AC2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11.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Wylogować się</w:t>
            </w:r>
          </w:p>
        </w:tc>
      </w:tr>
      <w:tr w:rsidR="00B328AF" w:rsidRPr="00514AC2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12.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Zalogować się jako pracownik Archiwum Zakładowego.</w:t>
            </w:r>
          </w:p>
        </w:tc>
      </w:tr>
      <w:tr w:rsidR="00B328AF" w:rsidRPr="00514AC2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13.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Przejść do funkcji brakowania akt spraw.</w:t>
            </w:r>
          </w:p>
        </w:tc>
      </w:tr>
      <w:tr w:rsidR="00B328AF" w:rsidRPr="00514AC2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14.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Oznaczyć jako wybrakowane wybrane akta spraw.</w:t>
            </w:r>
          </w:p>
        </w:tc>
      </w:tr>
      <w:tr w:rsidR="00B328AF" w:rsidRPr="00514AC2">
        <w:trPr>
          <w:trHeight w:hRule="exact"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15.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28AF" w:rsidRPr="00514AC2" w:rsidRDefault="00B328AF" w:rsidP="00B8194E">
            <w:pPr>
              <w:spacing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Wylogować się.</w:t>
            </w:r>
          </w:p>
        </w:tc>
      </w:tr>
    </w:tbl>
    <w:p w:rsidR="00B328AF" w:rsidRDefault="00B328AF" w:rsidP="00902E43">
      <w:pPr>
        <w:pStyle w:val="Heading1"/>
        <w:rPr>
          <w:rFonts w:cs="Times New Roman"/>
          <w:b/>
          <w:bCs/>
          <w:color w:val="000000"/>
          <w:u w:val="single"/>
        </w:rPr>
      </w:pPr>
      <w:bookmarkStart w:id="16" w:name="_Toc513557975"/>
    </w:p>
    <w:p w:rsidR="00B328AF" w:rsidRDefault="00B328AF" w:rsidP="00902E43">
      <w:pPr>
        <w:pStyle w:val="Heading1"/>
        <w:rPr>
          <w:rFonts w:cs="Times New Roman"/>
          <w:color w:val="000000"/>
        </w:rPr>
      </w:pPr>
      <w:r w:rsidRPr="00181741">
        <w:rPr>
          <w:b/>
          <w:bCs/>
          <w:color w:val="000000"/>
          <w:u w:val="single"/>
        </w:rPr>
        <w:t>Scenariusz nr 8</w:t>
      </w:r>
      <w:r w:rsidRPr="00514AC2">
        <w:rPr>
          <w:color w:val="000000"/>
        </w:rPr>
        <w:t xml:space="preserve"> w zakresie modułu komunikacji dla CPeUM. Konsultacje społeczne.</w:t>
      </w:r>
      <w:bookmarkEnd w:id="16"/>
    </w:p>
    <w:p w:rsidR="00B328AF" w:rsidRPr="00514AC2" w:rsidRDefault="00B328AF" w:rsidP="00514AC2"/>
    <w:tbl>
      <w:tblPr>
        <w:tblpPr w:leftFromText="141" w:rightFromText="141" w:vertAnchor="text" w:tblpY="1"/>
        <w:tblOverlap w:val="never"/>
        <w:tblW w:w="90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8505"/>
      </w:tblGrid>
      <w:tr w:rsidR="00B328AF" w:rsidRPr="00514AC2">
        <w:trPr>
          <w:cantSplit/>
          <w:trHeight w:val="53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3E07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276" w:lineRule="auto"/>
              <w:jc w:val="center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3E07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276" w:lineRule="auto"/>
              <w:jc w:val="center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Kroki do wykonania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Operator systemu – administrator konsultacji loguje się do systemu.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Zalogowany Administrator konsultacji rozpoczyna proces projektowania konsultacji społecznej Konsultacja 1 i definiuje następujące parametry:</w:t>
            </w:r>
          </w:p>
          <w:p w:rsidR="00B328AF" w:rsidRPr="00514AC2" w:rsidRDefault="00B328AF" w:rsidP="0039100D">
            <w:pPr>
              <w:pStyle w:val="ListParagraph1"/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Temat konsultacji;</w:t>
            </w:r>
          </w:p>
          <w:p w:rsidR="00B328AF" w:rsidRPr="00514AC2" w:rsidRDefault="00B328AF" w:rsidP="0039100D">
            <w:pPr>
              <w:pStyle w:val="ListParagraph1"/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Datę rozpoczęcia i zakończenia konsultacji;</w:t>
            </w:r>
          </w:p>
          <w:p w:rsidR="00B328AF" w:rsidRPr="00514AC2" w:rsidRDefault="00B328AF" w:rsidP="0039100D">
            <w:pPr>
              <w:pStyle w:val="ListParagraph1"/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Datę przeniesienia konsultacji do archiwum;</w:t>
            </w:r>
          </w:p>
          <w:p w:rsidR="00B328AF" w:rsidRPr="00514AC2" w:rsidRDefault="00B328AF" w:rsidP="0039100D">
            <w:pPr>
              <w:pStyle w:val="ListParagraph1"/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Dostępność konsultacji – konsultacja otwarta;</w:t>
            </w:r>
          </w:p>
          <w:p w:rsidR="00B328AF" w:rsidRPr="00514AC2" w:rsidRDefault="00B328AF" w:rsidP="0039100D">
            <w:pPr>
              <w:pStyle w:val="ListParagraph1"/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Osobę odpowiedzialną za przebieg konsultacji;</w:t>
            </w:r>
          </w:p>
          <w:p w:rsidR="00B328AF" w:rsidRPr="00514AC2" w:rsidRDefault="00B328AF" w:rsidP="0039100D">
            <w:pPr>
              <w:pStyle w:val="ListParagraph1"/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Sposób identyfikacji uczestnika konsultacji -wybiera autoryzację niewymagającą podpisu elektronicznego;</w:t>
            </w:r>
          </w:p>
          <w:p w:rsidR="00B328AF" w:rsidRPr="00514AC2" w:rsidRDefault="00B328AF" w:rsidP="0039100D">
            <w:pPr>
              <w:pStyle w:val="ListParagraph1"/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Załączniki – dodaje minimum jeden załącznik.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konsultacji przerywa proces tworzenia konsultacji, zapisuje aktualnie zaprojektowany jej stan, weryfikuje aktualny status konsultacji (projekt) i zamyka system.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konsultacji loguje się ponownie do systemu, wznawia projektowanie Konsultacji 1 i definiuje następujące parametry:</w:t>
            </w:r>
          </w:p>
          <w:p w:rsidR="00B328AF" w:rsidRPr="00514AC2" w:rsidRDefault="00B328AF" w:rsidP="00902E43">
            <w:pPr>
              <w:pStyle w:val="ListParagraph1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Formę konsultacji – forum dyskusyjne;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Datę rozpoczęcia i zakończenia dodanego forum.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Możliwość udzielania odpowiedzi na posty.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Możliwość wyrażania poparć – polubienia.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Demonstruje możliwość ustawienia forum, w sposób uniemożliwiający automatyczną publikację opinii na forum – ostatecznie wybiera publikację natychmiastową.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konsultacji zapisuje zaprojektowaną konsultację i udostępnia ją uczestnikom konsultacji.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weryfikuje aktualny status Konsultacji 1 (aktualna).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konsultacji rozpoczyna proces projektowania konsultacji społecznej Konsultacja 2 i definiuje następujące parametry:</w:t>
            </w:r>
          </w:p>
          <w:p w:rsidR="00B328AF" w:rsidRPr="00514AC2" w:rsidRDefault="00B328AF" w:rsidP="00902E43">
            <w:pPr>
              <w:pStyle w:val="ListParagraph1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Temat konsultacji;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Datę rozpoczęcia i zakończenia konsultacji;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Datę przeniesienia konsultacji do archiwum;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Dostępność konsultacji – konsultacja otwarta;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Osobę odpowiedzialną za przebieg konsultacji;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Sposób identyfikacji uczestnika konsultacji -wybiera autoryzację niewymagającą podpisu elektronicznego;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Formę konsultacji – Ankieta (administrator tworzy ankietę składającą się z minimum jednego pytania jednokrotnego wyboru i jednego pytania wielokrotnego wyboru);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Datę rozpoczęcia i zakończenia dodanej ankiety.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Administrator konsultacji zapisuje zaprojektowaną konsultację Konsultacja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2 i udostępnia ją uczestnikom konsultacji.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konsultacji rozpoczyna proces projektowania konsultacji społecznej Konsultacja 3 i definiuje następujące parametry:</w:t>
            </w:r>
          </w:p>
          <w:p w:rsidR="00B328AF" w:rsidRPr="00514AC2" w:rsidRDefault="00B328AF" w:rsidP="00902E43">
            <w:pPr>
              <w:pStyle w:val="ListParagraph1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Temat konsultacji;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Datę rozpoczęcia i zakończenia konsultacji;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Datę przeniesienia konsultacji do archiwum;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Dostępność konsultacji – konsultacja zamknięta (administrator ogranicza dostęp do konsultacji tylko uczestnikom reprezentującym organizacje pozarządowe);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Osobę odpowiedzialną za przebieg konsultacji;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Sposób identyfikacji uczestnika konsultacji -wybiera autoryzację niewymagającą podpisu elektronicznego;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Formę konsultacji – Konsultacja dokumentu (administrator odwzorowuje strukturę konsultowanego dokumentu w sposób, który umożliwiać będzie odniesienie się uczestnikom konsultacji do poszczególnych elementów konsultowanego dokumentu – administrator prezentuje możliwość odwzorowania przykładowego projektu uchwały składającego się z 5 paragrafów);</w:t>
            </w:r>
          </w:p>
          <w:p w:rsidR="00B328AF" w:rsidRPr="00514AC2" w:rsidRDefault="00B328AF" w:rsidP="00962093">
            <w:pPr>
              <w:pStyle w:val="ListParagraph1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Datę rozpoczęcia i zakończenia konsultacji dokumentu.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konsultacji zapisuje zaprojektowaną konsultację i udostępnia ją uczestnikom konsultacji.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przegląda opublikowane konsultacje społeczne w części publicznej systemu.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wylogowuje się z systemu.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Niezalogowana osoba uruchamia system, przechodzi do Konsultacji 1 i zapoznaje się z informacjami o konsultacji.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Mieszkaniec 1 zakłada konto tymczasowe w systemie.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Mieszkaniec 1 loguje się w systemie.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Mieszkaniec 1 przechodzi do Konsultacji 1, zapoznaje się z informacjami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o konsultacji i wyraża swoją opinię w dyskusji.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Mieszkaniec 1 przechodzi do Konsultacji 2, zapoznaje się z informacjami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o konsultacji i bierze udział w ankiecie odpowiadając na zawarte w niej pytania.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Mieszkaniec 1 przegląda aktualne wyniki ankiety prowadzonej w ramach Konsultacji 2.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Mieszkaniec 1 przechodzi do Konsultacji 3, zapoznaje się z informacjami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 xml:space="preserve">o konsultacji (system nie powinien dać możliwości wzięcia udziału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w Konsultacji 3 osobom niebędącym reprezentantem organizacji pozarządowej).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Mieszkaniec 2 zakłada konto uczestnika w systemie i powtarza czynności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z punktów 15-19.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Użytkownik zewnętrzny – Reprezentant NGO 1 zakłada konto uczestnika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w systemie.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Użytkownik zewnętrzny – Reprezentant NGO 1 loguje się w systemie.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Reprezentant NGO 1 przechodzi do Konsultacji 3, zapoznaje się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z informacjami o konsultacji – prezentacja braku możliwości wzięcia udziału bez autoryzacji zarejestrowanych danych konta. Wylogowuje się z systemu.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85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z uprawnieniami do autoryzacji danych zarejestrowanych uczestników loguje się w systemie i autoryzuje dane Reprezentanta NGO1.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85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Reprezentant NGO 1 loguje się w systemie i przechodzi do Konsultacji 3, zapoznaje się z informacjami o konsultacji i bierze udział w konsultacji wyrażając swoją opinię do wskazanego fragmentu konsultowanego dokumentu – wyraża opinię do minimum dwóch paragrafów.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Reprezentant NGO 1 wylogowuje się z systemu.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Po zakończeniu konsultacji społecznej, niezalogowana osoba przechodzi do Konsultacji 1, weryfikuje status (zakończona) i zapoznaje się z raportem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z przebiegu konsultacji. Podobnie postępuje w przypadku Konsultacji 2 i Konsultacji 3.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konsultacji loguje się do systemu.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Zalogowany administrator dołącza do zakończonej Konsultacji 1 plik podsumowania zatwierdzony przez kierownictwo urzędu i wylogowuje się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z systemu.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Mieszkaniec 1 loguje się w systemie.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Mieszkaniec 1 przechodzi do Konsultacji 1 i zapoznaje się z plikiem podsumowania konsultacji społecznej.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Mieszkaniec 1 wylogowuje się z systemu.</w:t>
            </w:r>
          </w:p>
        </w:tc>
      </w:tr>
      <w:tr w:rsidR="00B328AF" w:rsidRPr="00514AC2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39100D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Po przekroczeniu daty przeniesienia konsultacji do archiwum, niezalogowana osoba przechodzi do konsultacji archiwalnych, weryfikuje status (archiwalna) i zapoznaje się z wynikami Konsultacji 1.</w:t>
            </w:r>
          </w:p>
        </w:tc>
      </w:tr>
    </w:tbl>
    <w:p w:rsidR="00B328AF" w:rsidRDefault="00B328AF" w:rsidP="00902E43">
      <w:pPr>
        <w:pStyle w:val="Heading1"/>
        <w:rPr>
          <w:rFonts w:cs="Times New Roman"/>
          <w:color w:val="000000"/>
        </w:rPr>
      </w:pPr>
      <w:bookmarkStart w:id="17" w:name="_Toc513557976"/>
    </w:p>
    <w:p w:rsidR="00B328AF" w:rsidRDefault="00B328AF" w:rsidP="00902E43">
      <w:pPr>
        <w:pStyle w:val="Heading1"/>
        <w:rPr>
          <w:rFonts w:cs="Times New Roman"/>
          <w:color w:val="000000"/>
        </w:rPr>
      </w:pPr>
    </w:p>
    <w:p w:rsidR="00B328AF" w:rsidRPr="00514AC2" w:rsidRDefault="00B328AF" w:rsidP="00902E43">
      <w:pPr>
        <w:pStyle w:val="Heading1"/>
        <w:rPr>
          <w:rFonts w:cs="Times New Roman"/>
          <w:color w:val="000000"/>
        </w:rPr>
      </w:pPr>
      <w:r w:rsidRPr="00181741">
        <w:rPr>
          <w:b/>
          <w:bCs/>
          <w:color w:val="000000"/>
          <w:u w:val="single"/>
        </w:rPr>
        <w:t>Scenariusz nr 9</w:t>
      </w:r>
      <w:r w:rsidRPr="00514AC2">
        <w:rPr>
          <w:color w:val="000000"/>
        </w:rPr>
        <w:t xml:space="preserve"> w zakresie modułu komunikacji dla CPeUM. Komunikacja elektroniczna.</w:t>
      </w:r>
      <w:bookmarkEnd w:id="17"/>
    </w:p>
    <w:tbl>
      <w:tblPr>
        <w:tblW w:w="9072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1"/>
        <w:gridCol w:w="8471"/>
      </w:tblGrid>
      <w:tr w:rsidR="00B328AF" w:rsidRPr="00514AC2">
        <w:trPr>
          <w:trHeight w:val="542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3E07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9B6618">
            <w:pPr>
              <w:pStyle w:val="Standard"/>
              <w:spacing w:line="276" w:lineRule="auto"/>
              <w:jc w:val="center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3E07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9B6618">
            <w:pPr>
              <w:pStyle w:val="Standard"/>
              <w:spacing w:line="276" w:lineRule="auto"/>
              <w:jc w:val="center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Kroki do wykonania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 systemu loguje się do systemu.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ListParagraph1"/>
              <w:numPr>
                <w:ilvl w:val="0"/>
                <w:numId w:val="21"/>
              </w:numPr>
              <w:spacing w:after="0" w:line="360" w:lineRule="auto"/>
              <w:ind w:left="360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Zalogowany Administrator systemu tworzy konto Operatora danych osobowych z uprawnieniami do zarządzania danymi osobowymi – Operator.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1"/>
              </w:numPr>
              <w:spacing w:after="0" w:line="360" w:lineRule="auto"/>
              <w:ind w:left="360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 xml:space="preserve">Zalogowany Administrator systemu tworzy konto operatora systemu </w:t>
            </w:r>
            <w:r w:rsidRPr="00514AC2">
              <w:rPr>
                <w:rFonts w:ascii="Tw Cen MT" w:hAnsi="Tw Cen MT" w:cs="Tw Cen MT"/>
                <w:color w:val="000000"/>
              </w:rPr>
              <w:br/>
              <w:t>z uprawnieniami do tworzenia i wysyłania wiadomości – Redaktor.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1"/>
              </w:numPr>
              <w:spacing w:after="0" w:line="360" w:lineRule="auto"/>
              <w:ind w:left="360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Administrator systemu wylogowuje się.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Operator loguje się do systemu.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Operator rejestruje w systemie przykładowe dane mieszkańca. Operator rejestruje dwa konta mieszkańca, po jednym dla kobiety i mężczyzny.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W trakcie rejestracji kont mieszkańców operator wprowadza wszystkie wymagane informacje oraz dla konta: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kobiety – przykładowy adres email i numer telefonu komórkowego,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mężczyzny – przykładowy numer telefonu komórkowego.</w:t>
            </w:r>
          </w:p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Po wprowadzeniu wszystkich danych, Operator zapisuje dane w systemie oraz generuje formularz rejestracyjny z możliwością potwierdzenia wyrażenia zgody na komunikację elektroniczną dla każdego z dodawanych kont.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Operator przegląda zapisane w systemie dane oraz dla wybranego konta wysyła nowe hasło do autoryzacji aplikacji mobilnej konta mieszkańca.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loguje się do systemu.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tworzy dwie przykładowe grupy dla zarejestrowanych kont mieszkańców, które służyć będą do wyboru z bazy tylko Kobiet lub Mężczyzn. Redaktor nazywa grupy  odpowiednio Kobiety i Mężczyźni.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prezentuje prawidłowe działanie obu stworzonych grup.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tworzy pierwszą przykładową wiadomość Zaproszenie na wydarzenie kulturalne podając minimum następujące elementy: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Temat;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Kategorię wiadomości;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Treść dla wiadomości sms.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przerywa proces tworzenia wiadomości i zapisuje ją.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wznawia proces tworzenia wiadomości od momentu, w którym zakończył.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wskazuje wszystkie konta mieszkańców i wysyła wiadomość przez sms.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tworzy drugą przykładową wiadomość Badania dla kobiet podając minimum następujące elementy: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Temat;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Kategorię wiadomości;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Treść dla wiadomości sms oraz dla email i aplikacji mobilnej (wprowadzając treść Redaktor prezentuje możliwość wprowadzenia treści innej dla wiadomości wysyłanych przez sms, a inną dla pozostałych metod wysyłania wiadomości, np. email, aplikacja mobilna);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Załącznik.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Współrzędne GPS lokalizacji urzędu.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prezentuje możliwości wyboru adresatów i ostatecznie wskazuje przygotowaną wcześniej grupę Kobiety, jako adresatów tworzonej wiadomości.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prezentuje możliwość wyboru różnych metod wysyłania wiadomości oraz wskazywania priorytetów ich stosowania.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prezentuje możliwość planowania terminów wysyłki tworzonej wiadomości i ostatecznie wysyła wiadomość.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tworzy szablon wiadomości Ostrzeżenie przed burzą podając następujące elementy: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Temat;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Grupę tematyczną;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Treść wiadomości dla aplikacji mobilnej;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Adresaci: wszystkie konta mieszkańców</w:t>
            </w:r>
          </w:p>
          <w:p w:rsidR="00B328AF" w:rsidRPr="00514AC2" w:rsidRDefault="00B328AF" w:rsidP="00F23A76">
            <w:pPr>
              <w:pStyle w:val="ListParagraph1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w Cen MT" w:hAnsi="Tw Cen MT" w:cs="Tw Cen MT"/>
                <w:color w:val="000000"/>
              </w:rPr>
            </w:pPr>
            <w:r w:rsidRPr="00514AC2">
              <w:rPr>
                <w:rFonts w:ascii="Tw Cen MT" w:hAnsi="Tw Cen MT" w:cs="Tw Cen MT"/>
                <w:color w:val="000000"/>
              </w:rPr>
              <w:t>Metoda wysłania: aplikacja mobilna.</w:t>
            </w:r>
          </w:p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zapisuje szablon, a następnie na bazie szablonu tworzy nową wiadomość i wysyła do adresatów. Demonstracja wiadomości prezentowanej w aplikacji mobilnej.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przegląda wszystkie wysłane wiadomości.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Redaktor wylogowuje się z systemu.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 xml:space="preserve">Administrator definiuje parametry API niezbędne do wykorzystania systemu przez zewnętrzny system do wysyłki wiadomości do zarejestrowanych </w:t>
            </w: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br/>
              <w:t>w bazie mieszkańców.</w:t>
            </w:r>
          </w:p>
        </w:tc>
      </w:tr>
      <w:tr w:rsidR="00B328AF" w:rsidRPr="00514AC2">
        <w:trPr>
          <w:cantSplit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8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AF" w:rsidRPr="00514AC2" w:rsidRDefault="00B328AF" w:rsidP="00F23A76">
            <w:pPr>
              <w:pStyle w:val="Standard"/>
              <w:spacing w:line="360" w:lineRule="auto"/>
              <w:jc w:val="both"/>
              <w:rPr>
                <w:rFonts w:ascii="Tw Cen MT" w:hAnsi="Tw Cen MT" w:cs="Tw Cen MT"/>
                <w:color w:val="000000"/>
                <w:sz w:val="22"/>
                <w:szCs w:val="22"/>
              </w:rPr>
            </w:pPr>
            <w:r w:rsidRPr="00514AC2">
              <w:rPr>
                <w:rFonts w:ascii="Tw Cen MT" w:hAnsi="Tw Cen MT" w:cs="Tw Cen MT"/>
                <w:color w:val="000000"/>
                <w:sz w:val="22"/>
                <w:szCs w:val="22"/>
              </w:rPr>
              <w:t>Administrator, za pomocą dowolnego systemu zewnętrznego, wykorzystując zdefiniowane parametry środowiska API, wysyła dowolną wiadomość do wybranej osoby.</w:t>
            </w:r>
          </w:p>
        </w:tc>
      </w:tr>
    </w:tbl>
    <w:p w:rsidR="00B328AF" w:rsidRPr="00514AC2" w:rsidRDefault="00B328AF" w:rsidP="00902E43">
      <w:pPr>
        <w:rPr>
          <w:color w:val="000000"/>
        </w:rPr>
      </w:pPr>
    </w:p>
    <w:p w:rsidR="00B328AF" w:rsidRPr="00514AC2" w:rsidRDefault="00B328AF" w:rsidP="009B6618">
      <w:pPr>
        <w:pStyle w:val="Heading1"/>
        <w:rPr>
          <w:rFonts w:cs="Times New Roman"/>
          <w:color w:val="000000"/>
        </w:rPr>
      </w:pPr>
      <w:bookmarkStart w:id="18" w:name="_Toc513557977"/>
      <w:r w:rsidRPr="00181741">
        <w:rPr>
          <w:b/>
          <w:bCs/>
          <w:color w:val="000000"/>
          <w:u w:val="single"/>
        </w:rPr>
        <w:t>Scenariusz nr 10</w:t>
      </w:r>
      <w:r w:rsidRPr="00514AC2">
        <w:rPr>
          <w:color w:val="000000"/>
        </w:rPr>
        <w:t xml:space="preserve"> w zakresie Zintegrowanego Systemu Dziedzinowego. Obszar obsługi podatków i opłat lokalnych.</w:t>
      </w:r>
      <w:bookmarkEnd w:id="18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8613"/>
      </w:tblGrid>
      <w:tr w:rsidR="00B328AF" w:rsidRPr="00514AC2">
        <w:trPr>
          <w:trHeight w:val="634"/>
        </w:trPr>
        <w:tc>
          <w:tcPr>
            <w:tcW w:w="675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24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Lp.</w:t>
            </w:r>
          </w:p>
        </w:tc>
        <w:tc>
          <w:tcPr>
            <w:tcW w:w="8613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24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Kroki do wykonania.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loguje się do systemu, wybiera moduł do obsługi podatku od osób fizycznych.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Sprawdzić możliwość wyszukiwania podatników wg zadanych kryteriów,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uwzględnieniem co najmniej: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- numeru kartoteki, 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nazwiska podatnika,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adresu gospodarstwa,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numeru działki,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numeru decyzji.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Zdefiniować nowych podatników z podziałem na: osobę fizyczną, małżeństwo, podmiot grupowy. Sprawdzić, czy możliwe jest określenie, którzy z nich mają być adresatami do korespondencji np. decyzji ze wskazaniem na kontrahentów z modułu interesanci.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Skonfigurować ceny zboża, obręby, znaki dokumentów i typy decyzji.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Określić adresy gospodarstw dla utworzonych kartotek.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Zdefiniować pełnomocników i spadkobierców dla kartotek.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tabs>
                <w:tab w:val="left" w:pos="1454"/>
              </w:tabs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następujące operacje na przedmiotach opodatkowania: przejrzeć, wprowadzić, usunąć, zmodyfikować przedmioty opodatkowania (np. grunty, nieruchomości) objęte podatkiem rolnym, podatkiem leśnym i podatkiem od nieruchomości dla kartotek podatkowych.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Określania informacje o działkach związanych z danym przedmiotem opodatkowania na podstawie Ewidencji Gruntów i Budynków prowadzonej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w module do obsługi gospodarowania mieniem. Sprawdzić, czy możliwe jest wskazanie i powiązanie przedmiotu opodatkowania bezpośrednio z działką z modułu Ewidencji Gruntów i Budynków.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Zarejestrować ulgę lub zwolnienie podmiotowe (dotyczących kartoteki)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i przedmiotowe (dotyczących poszczególnych przedmiotów opodatkowania).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10.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tabs>
                <w:tab w:val="left" w:pos="997"/>
              </w:tabs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zmianę dot.:</w:t>
            </w:r>
          </w:p>
          <w:p w:rsidR="00B328AF" w:rsidRPr="00514AC2" w:rsidRDefault="00B328AF" w:rsidP="00E44733">
            <w:pPr>
              <w:tabs>
                <w:tab w:val="left" w:pos="997"/>
              </w:tabs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- nabycia, </w:t>
            </w:r>
          </w:p>
          <w:p w:rsidR="00B328AF" w:rsidRPr="00514AC2" w:rsidRDefault="00B328AF" w:rsidP="00E44733">
            <w:pPr>
              <w:tabs>
                <w:tab w:val="left" w:pos="997"/>
              </w:tabs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zbycia przedmiotów opodatkowania w trakcie roku.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tabs>
                <w:tab w:val="left" w:pos="1038"/>
              </w:tabs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masowego zbycia składników na kartotece poprzez wyświetlenie tych składników, umożliwienie zaznaczenia elementów do zbycia, ustawienia daty i wykonanie zbycia.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zmianę znacznika.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Dla wybranej kartoteki wykonać przegląd pogrupowanych powierzchni przedmiotów opodatkowania w ramach gruntów, lasów oraz nieruchomości wg stanu na wybrany dzień, stanu na dany rok podatkowy lub wg całego znanego stanu ewidencyjnego (również z przyszłych okresów).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Ustawić maksymalną kwotę podatku płatną jednorazowo, sposób numerowania decyzji, prezentację powierzchni na kartotece, sposób prezentacji składników objętych w dzierżawę.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Naliczyć podatek rolny, leśny i od nieruchomości na podstawie stanu posiadania podatnika.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Naliczyć zmianę podatku w trakcie roku na skutek zmiany stanu posiadania dla pojedynczej kartoteki oraz dla zakresu kartotek.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Anulować naliczony podatku dla pojedynczej kartoteki oraz dla zakresu kartotek.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Dla wybranej kartoteki sprawdzić wysokość naliczonego podatku, wysokość uwzględnionych poszczególnych ulg i zwolnień z podatku, wystawione decyzje dotyczących wymiaru i zmiany wymiaru podatku, wysokość rat podatku oraz terminy ich płatności.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Zapisać dodatkowe informacje o kartotece w notatniku.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20.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Dla wybranej kartoteki porównać stan ewidencyjny kartoteki podatkowej ze stanem posiadania podatnika(-ów) w Ewidencji Gruntów i Budynków prowadzonej w module do obsługi mienia.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Dla wybranej kartoteki sprawdzić naliczone opłaty w module księgowości zobowiązań.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Wystawić decyzję w sprawie wymiaru i zmiany wymiaru podatku rolnego, podatku leśnego, podatku od nieruchomości, w tym pobieranego w formie łącznego zobowiązania pieniężnego za rok bieżący dla pojedynczej kartoteki oraz dla zakresu kartotek.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zarządzania wystawionymi decyzjami w zakresie: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obsługi szablonów treści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wyszukiwania decyzji wg różnych kryteriów,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ustawienia parametrów wydruku decyzji (drukowanie kodu kreskowego, drukowanie potwierdzenia odbioru, drukowanie kwitów do kasy, drukowanie bankowego polecenia przelewu itd.),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modyfikacji wybranych elementów treści decyzji przed jej wydrukowaniem,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wydruku decyzji, w tym w sposób masowy (lub z podziałem np. na sołectwa),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rejestracji daty wysłania decyzji, daty odbioru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tworzenia dokumentu elektronicznego z wybraną decyzją przygotowanego do wysyłki na ePUAP.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Anulować decyzję w sprawie wymiaru i zmiany wymiaru podatku.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Sprawdzić możliwość wykonywania i zarządzana przypisami należności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tytułu podatku wysyłanymi do modułu księgowości zobowiązań, w tym: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przekazywania przypisu podatku dla pojedynczej kartoteki oraz dla zakresu kartotek,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zawieszania przypisów w przypadku braku żyjących podatników, pełnomocników, spadkobierców,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anulowania przypisu.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zarządzanie sposobem przenoszenie przypisów należności do modułu księgowości zobowiązań, w tym: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przenoszenia wszystkich przypisów, niezależnie od wielkości,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przenoszenia przypisów nie mniejszych niż kwota minimalnego przypisu określona w księgowości, zsumowanych w ramach pojedynczej decyzji danego rodzaju i typu, decyzji danego rodzaju i niezależne od typu, wszystkich decyzji, dla których jest wykonywany dany przypis.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Wystawić decyzję ustalającą wysokość podatku za lata ubiegłe. Następnie sprawdzić możliwość wykonania: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wyszukania decyzji wg wielu kryteriów,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dodania i edycji decyzji ustalającej wysokość podatku za lata ubiegłe,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przeglądania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zatwierdzania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anulowania i wygaszania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drukowania decyzji.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Dla wybranych kartotek wystawić decyzję o 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odroczeniu terminu płatności,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rozłożeniu zapłaty należności na raty,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umorzeniu zaległości,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umorzeniu odsetek.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ustawienia zmian na szablonach ww. decyzji, zweryfikować możliwość ustawienia minimum: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koloru, rozmiaru i stylu czcionki (podkreślenia, przekreślenia, pogrubienia),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parametrów strony typu szerokość, wysokość, marginesy, koloru tła, wyśrodkowania, wyrównania,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kopiowania formatu elementów znajdujących się na wydruku i wklejania tego formatu do innych elementów,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wstawiania pól tekstowych,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wstawiania obiektów typu obraz, wykres, element OLE,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poszerzenia i zwężania elementów wydruków poprzez przesunięcie kursorem,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wyrównania względem innych elementów wydruku,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usuwania całych elementów szablonu, dodawania nowych.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30.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Wydrukować koperty i zwrotne potwierdzenia odbioru adresowane do wszystkich podatników, do podatników z Gminy lub do podatników spoza Gminy.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Zmienić numer kartoteki podatnika (pojedynczo i zbiorowo).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wykonanie wydruków i zestawień, co najmniej w zakresie: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listy kartotek, listy kartotek z błędnym znacznikiem gospodarstwa,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zestawienia wydanych decyzji, wykaz niewydrukowanych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zestawienia ulg w nieruchomościach,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rejestru wymiarowego nieruchomości,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zestawienia gospodarstw wg wielkości,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karty gospodarstwa,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rejestru wymiarowego,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- wydruku z wybranymi informacjami podatkowymi o kartotekach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zadanego przez użytkownika zakresu,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zestawienia podatników,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zestawienia nieruchomości,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zestawienia zmiany numerów kartotek,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zestawienia działek z przedmiotami opodatkowania.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Wylogować się z systemu.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loguje się do systemu, wybiera moduł do obsługi podatku od prawnych.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lub sprawdzić parametryzację pracy modułu: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typów pism,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typów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znaku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roku podatkowego,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minimalnej stawki podatku płaconego jednorazowo.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Wyszukać dowolną kartotekę wg zadanych kryteriów, minimum wg: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nazwiska,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imienia,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nazwy,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NIP,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nr kartoteki,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roku.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Sprawdzić szczegóły danej kartoteki, z uwzględnieniem informacji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 xml:space="preserve">o wymiarze podatku rolnego leśnego, od nieruchomości. 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listę deklaracji dla kartoteki. System musi informować o rodzaju podatku, na który deklaracja została złożona, dacie złożenia, dacie naliczenia, roku podatkowym, kwocie podatku, statusie deklaracji (np. czy jest naliczona, czy też nie).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listę działek przypisanych do kartoteki z uwzględnieniem obrębu, nr działki, powierzchni, nr gospodarstwa. Informacja powinna obejmować również co najmniej składnik opodatkowania, rodzaj podatku, tytuł prawny, nr i typ jednostki rejestrowej, nr księgi wieczystej, adres.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40.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listę opłat naliczonych dla kartoteki. Lista powinna prezentować rodzaj podatku, rok, ratę, odsetki, termin płatności raty, wysokość opłaty.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Dodać informacje do kartoteki w postaci zapisów np. w notesie.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Dodać nową deklarację do systemu. Musi być możliwość uzupełnienia informacji o: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nr kartoteki, do której dopisujemy deklarację,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rodzaju podatku,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dacie złożenia,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czy jest to deklaracja roczna, czy też składana w trakcie roku,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czy składa ją właściciel, czy współwłaściciel,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kwoty z deklaracji,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kwoty naliczonej,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podatnikach,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przedmiotach opodatkowania,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ulgach,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danych o nieruchomościach.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 trakcie dodawania kolejnych elementów deklaracji sprawdzić możliwość dodawania adresów nieruchomości. W danych o nieruchomościach, dla wprowadzonej wcześniej działki sprawdzić informacje pochodzące z EGiB: identyfikator, obręb, nr księgi wieczystej, nr jednostki rejestrowej, powierzchnię.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Dodać nową deklarację do systemu na podstawie dokumentu elektronicznego złożonego poprzez ePUAP. Sprawdzić dodawanie elektronicznej deklaracji dla jednego z podatków (leśnego, rolnego lub od nieruchomości).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Wczytać dane z deklaracji elektronicznej.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porównanie powierzchni pochodzącej z deklaracji z powierzchnią wynikającą z ewidencji.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 trakcie dodawania deklaracji usunąć wybrane elementy (sprawdzenie możliwości usuwania).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Porównać stan ewidencyjny działki wynikający z kartoteki podatkowej ze stanem wynikającym z ewidencji gruntów i budynków.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Zapisać deklarację i naliczyć podatek.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Naliczyć podatek grupowo dla wybranego zakresy deklaracji.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50.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Wystawić decyzję w sprawie określenia wysokości zobowiązania podatkowego dla wybranej kartoteki.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Wyszukać wystawioną decyzję – sprawdzić rejestr wystawionych dokumentów. Rejestr musi umożliwiać wyszukanie dokumentu po: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typie dokumentu,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stanie,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okresie obrachunkowym,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znaku dokumentu,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adresacie,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osobie wystawiającej,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nr kartoteki.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naliczony podatek w module księgowości zobowiązań.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Dla wybranej kartoteki wystawić decyzję o 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odroczeniu terminu płatności,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rozłożeniu zapłaty należności na raty,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umorzeniu zaległości,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umorzeniu odsetek.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ustawienia zmian na szablonach ww. decyzji, zweryfikować możliwość ustawienia minimum: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koloru, rozmiaru i stylu czcionki (podkreślenia, przekreślenia, pogrubienia),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parametrów strony typu szerokość, wysokość, marginesy, koloru tła, wyśrodkowania, wyrównania,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kopiowania formatu elementów znajdujących się na wydruku i wklejania tego formatu do innych elementów,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wstawiania pól tekstowych,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wstawiania obiektów typu obraz, wykres, element OLE,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poszerzenia i zwężania elementów wydruków poprzez przesunięcie kursorem,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wyrównania względem innych elementów wydruku,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usuwania całych elementów szablonu, dodawania nowych.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zestawienie: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nieruchomości,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 powierzchni lasów,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powierzchni gruntów,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deklaracji,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ulg i zwolnień w podatku od nieruchomości,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kontrahentów objętych podatkiem.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wydruk zawiadomienia o błędnych deklaracjach.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wydruk zawiadomienia o stawkach podatkowych.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wydruk wezwania do złożenia deklaracji.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wykonania rejestru decyzji wg parametrów: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rodzaju podatku,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typu decyzji.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60.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Wykonać wydruk rejestru decyzji. 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wydruk wezwania do złożenia deklaracji.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Dla wezwania do złożenia deklaracji wygenerować dokument elektroniczny możliwy do wysłania na skrytkę ePUAP podatnika.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wydruk zawiadomienia o błędnych deklaracjach.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wydruk zawiadomienia o stawkach podatkowych.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Wylogować się z systemu.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loguje się do systemu, wybiera moduł do obsługi podatku od śr. transportu.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Wprowadzić lub sprawdzić ustawienia modułu. Ustawienia powinny umożliwić: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parametryzację słowników: typów cech pojazdów, cech pojazdów, oznaczenia cech wymaganych,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stawek podatku,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treści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znaku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terminów (wydania postanowienia, wydania decyzji, uprawomocnienia decyzji).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kojarzenie cech pojazdu w celu umożliwienia wczytywania deklaracji w formie dokumentów elektronicznych pochodzących z ePUAP. Kojarzenie ma polegać na ustaleniu, która cecha pochodząca z deklaracji elektronicznej odpowiada wartości cechy w systemie.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Wyszukać dowolną kartotekę podatnika. Wyszukiwanie musi być możliwe wg co najmniej: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nazwiska / nazwy,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nr kartoteki,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PESEL,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NIP.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70.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Dodać nową kartotekę podatnika.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ewidencję pojazdów podatnika, dodać kolejny pojazd. Uzupełnić wymagane dane dla pojazdu: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nr rejestracyjny,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datę nabycia,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datę zarejestrowania,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cechy pojazdu (dopuszczalna masa całkowita, rodzaj zawieszenia, liczba osi, liczba miejsc),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właścicieli,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notatek do pojazdu.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Wydrukować zestawienie pojazdów.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Wydrukować koperty dla wybranego płatnika lub grupy wybranych płatników.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Dla uzupełnionej o pojazdy kartoteki dodać deklarację (dowolną). Uzupełnić dane niezbędne do wstawienia: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przyczynę składania,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rok składania,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kwoty podatku,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datę złożenia,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pojazdu.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Porównać dane pojazdów wynikających z deklaracji z podjazdami podatnika na kartotece.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podział na raty, zmienić testowo kwoty i terminy dla wybranych rat.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Zapisać deklarację i naliczyć podatek.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operację dodania deklaracji na podstawie dokumentu elektronicznego znajdującego się w module do obsługi dokumentów elektronicznych.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grupowego naliczania podatku dla deklaracji.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80.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Ustawić lub sprawdzić tekst dla decyzji w sprawie określenia wysokości zobowiązania podatkowego: podstawę prawna, uzasadnienie, pouczenie.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Dodać decyzję w sprawie określenia wysokości zobowiązania podatkowego.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Wydrukować decyzję.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rejestr dokumentów zawierający listę wystawionych dokumentów. Sprawdzić możliwość wyszukania dokumentów co najmniej po: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typie,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stanie,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osobie wystawiającej,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znaku dokumentu,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numerze dokumentu.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naliczony podatek w module do księgowania zobowiązań i w rejestrze płatności modułu.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Wykonać testowe wydruki następujących elementów korespondencji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płatnikami: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postanowienia o wszczęciu postępowania w sprawie określenia wysokości zobowiązania podatkowego,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zawiadomienia o błędnych deklaracjach,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wezwania do złożenia deklaracji.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testowej zmiany szablonu wydruku ww. wydruków.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Wyszukać wygenerowaną korespondencję w rejestrze. Sprawdzić możliwość wyszukiwania po: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zakresie dat utworzenia, zatwierdzenia, odbioru,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nazwisku / nazwie,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rodzaju korespondencji,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nr kartoteki.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zestawienia: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stawek podatku,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podatku wg typu pojazdu,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decyzji,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płatników,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deklaracji,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płatników ubyłych.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Dla wybranej kartoteki wystawić decyzję o 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odroczeniu terminu płatności,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rozłożeniu zapłaty należności na raty,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umorzeniu zaległości,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umorzeniu odsetek.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90.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ustawienia zmian na szablonach ww. decyzji, zweryfikować możliwość ustawienia minimum: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koloru, rozmiaru i stylu czcionki (podkreślenia, przekreślenia, pogrubienia),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parametrów strony typu szerokość, wysokość, marginesy, koloru tła, wyśrodkowania, wyrównania,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kopiowania formatu elementów znajdujących się na wydruku i wklejania tego formatu do innych elementów,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wstawiania pól tekstowych,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wstawiania obiektów typu obraz, wykres, element OLE,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poszerzenia i zwężania elementów wydruków poprzez przesunięcie kursorem,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wyrównania względem innych elementów wydruku,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usuwania całych elementów szablonu, dodawania nowych.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Wylogować się z systemu.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loguje się do systemu, wybiera moduł do obsługi pozostałych opłat.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Wprowadzić lub sprawdzić ustawienia modułu pozwalające na wprowadzenie opłaty. Ustawienia słownika opłat powinny umożliwiać ustawienie: nazwy opłaty, rodzaju, odsetek, rodzaju korespondencji (zawiadomienie, upomnienie), jednostki, która będzie prowadzić księgowość opłaty w module księgowości.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ustawienia zaokrąglania opłaty (do złotówki, do 10 groszy, do grosza).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Zmienić lub dodać dwie opłaty w celu ustawienia pobierania należności przez kasę i księgowość zobowiązań.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Dodać kartotekę, na którą ma być naliczona opłata. Powinna istnieć możliwość dodania: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kwoty,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płatnika,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rat,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terminu.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wyszukania wprowadzonych opłat. Wyszukanie powinno być możliwe przynajmniej wg: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rodzaju opłaty,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numerze,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opisie,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statusie,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dacie wprowadzenia,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terminie.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stan naliczeń dla kartoteki w module księgowości zobowiązań.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Anulować wybraną opłatę.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100.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Dla wybranej kartoteki wystawić decyzję o 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odroczeniu terminu płatności,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rozłożeniu zapłaty należności na raty,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umorzeniu zaległości,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umorzeniu odsetek.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101.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możliwość ustawienia zmian na szablonach ww. decyzji, zweryfikować możliwość ustawienia minimum: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koloru, rozmiaru i stylu czcionki (podkreślenia, przekreślenia, pogrubienia),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parametrów strony typu szerokość, wysokość, marginesy, koloru tła, wyśrodkowania, wyrównania,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kopiowania formatu elementów znajdujących się na wydruku i wklejania tego formatu do innych elementów,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wstawiania pól tekstowych,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wstawiania obiektów typu obraz, wykres, element OLE,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poszerzenia i zwężania elementów wydruków poprzez przesunięcie kursorem,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wyrównania względem innych elementów wydruku,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usuwania całych elementów szablonu, dodawania nowych.</w:t>
            </w:r>
          </w:p>
        </w:tc>
      </w:tr>
    </w:tbl>
    <w:p w:rsidR="00B328AF" w:rsidRPr="00514AC2" w:rsidRDefault="00B328AF">
      <w:pPr>
        <w:rPr>
          <w:color w:val="000000"/>
          <w:sz w:val="32"/>
          <w:szCs w:val="32"/>
        </w:rPr>
      </w:pPr>
    </w:p>
    <w:p w:rsidR="00B328AF" w:rsidRPr="00514AC2" w:rsidRDefault="00B328AF" w:rsidP="000D31FF">
      <w:pPr>
        <w:pStyle w:val="Heading1"/>
        <w:rPr>
          <w:rFonts w:cs="Times New Roman"/>
          <w:color w:val="000000"/>
        </w:rPr>
      </w:pPr>
      <w:bookmarkStart w:id="19" w:name="_Toc513557978"/>
      <w:r w:rsidRPr="00181741">
        <w:rPr>
          <w:b/>
          <w:bCs/>
          <w:color w:val="000000"/>
          <w:u w:val="single"/>
        </w:rPr>
        <w:t>Scenariusz nr 11</w:t>
      </w:r>
      <w:r w:rsidRPr="00514AC2">
        <w:rPr>
          <w:color w:val="000000"/>
        </w:rPr>
        <w:t xml:space="preserve"> w zakresie Zintegrowanego Systemu Dziedzinowego. Obszar finanse i księgowość.</w:t>
      </w:r>
      <w:bookmarkEnd w:id="19"/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8930"/>
      </w:tblGrid>
      <w:tr w:rsidR="00B328AF" w:rsidRPr="00514AC2">
        <w:trPr>
          <w:trHeight w:val="635"/>
        </w:trPr>
        <w:tc>
          <w:tcPr>
            <w:tcW w:w="568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Lp.</w:t>
            </w:r>
          </w:p>
        </w:tc>
        <w:tc>
          <w:tcPr>
            <w:tcW w:w="8930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Kroki do wykonania.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loguje się do modułu finansowego.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wybiera kontekst, w ramach którego będzie wykonywał operacje. Informacja o wybranym kontekście, którym może być jednostka budżetowa, wyświetla się na pasku ekranu do obsługi księgowości.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Utworzyć plan kont na podstawie zadanej struktury. 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Uruchomić przegląd konta, usunięcie niepotrzebnego konta, zmienić atrybuty konta.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Utworzyć lub edytować bloki kont grupujące konta z informacją o kontrahentach.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Utworzyć konto analityczne, skorygować je lub usunąć w zależności od potrzeb.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Automatycznie przenieść plan kont utworzony w jednostce organizacyjnej do obsługiwanej jednostki.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Przejrzeć szczegółowe dane dot. stanów i obrotów kont analitycznych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i klasyfikacji budżetowej według zadanych kryteriów.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Ustalić parametry (typ budżetu, funkcja konta, parametry do naliczeń Rb-27S/Rb-28S) dla kont syntetycznych z klasyfikacją budżetową.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10.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Zaimportować parametry kont syntetycznych z klasyfikacją budżetową z lat poprzednich.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11.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Wprowadzić dokument księgowy do bieżącego dziennika z jednoczesnym zadekretowaniem na właściwe konto księgowe.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12.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Usunąć niezaksięgowaną pozycję dokumentu.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13.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Zmodyfikować pozycję księgową i dziennika dokumentu.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14.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Zmienić plan kont na etapie wprowadzania dokumentu.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15.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Zaksięgować dokument finansowy (wybrany lub wszystkie dokumenty)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uwzględnieniem poprawności.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16.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Przeprowadzić równoczesne księgowanie zaangażowania środków, dokonanych wydatków budżetowych, ewidencji wydatków strukturalnych, dokonanych wydatków budżetowych w układzie zadaniowym na kontach pozabilansowych.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17.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Powielić jeden dokument w całości lub jego część.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18.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Utworzyć nowy schemat dekretowania. Następnie zmienić ten schemat i usunąć.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19.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Utworzyć nową pozycję w dokumencie na podstawie schematu.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20.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Zmodyfikować kwotę i opis jednocześnie dla kilku wybranych pozycji dokumentu.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21.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Zaimportować plik XML z dokumentami finansowymi, następnie zadekretować je zgodnie z ustalonymi schematami.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22.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Sprawdzić automatyczne zadekretowanie raportów kasowych pochodzących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modułu do obsługi kasy.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23.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Zmienić schematy dekretowania raportów kasowych.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24.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sprawdza, czy zaimportowane wcześniej operacje finansowe dot. księgowości zobowiązań, środków trwałych, faktur i płac zostały zadekretowane zgodnie z ustawieniami (integracja z innymi modułami systemu).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25.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zmiany schematów dekretowania operacji pochodzących z innych modułów, a także wyłączenia lub włączenia importowania.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26.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usunięcia roboczych dekretów powstałych na podstawie operacji związanych z księgowością zobowiązań.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27.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Wydrukować kartotekę wg zadanych parametrów, np. dla wszystkich dzienników, z uwzględnieniem kont analitycznych w ujęciu za dany miesiąc.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28.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Wydrukować dokumenty księgowe wg ustalonych kryteriów, np. dla wszystkich dzienników, wg ustalonej daty z dokumentów księgowanych.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29.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wydruku dekretów z brakującą klasyfikacją.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30.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Użytkownik ma możliwość wydruku obrotów i sald ze wskazaniem co najmniej: jednego dziennika lub kilku dzienników, dla kont analitycznych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uwzględnieniem danego roku, miesiąca i dnia.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31.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wydruku należności i zobowiązań dla wybranego zakresu kont, dla kartotek kontrahentów.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32.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wydruku karty dochodów i wydatków wg co najmniej: zakresu miesięcy, zakresu kont klasyfikacji budżetowej, zadanego roku.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33.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również sprawdzenia kont klasyfikacji budżetowej z brakującymi grupami paragrafów oraz zaktualizowania grup paragrafów.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34.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Wydrukować zestawienie księgowań wg co najmniej: określenia kwoty księgowania, roku, dzienników.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35.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Użytkownik ma możliwość prowadzenia ewidencji rozrachunków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kontrahentami, co najmniej w zakresie: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prowadzenia i przeglądu kartotek kontrahentów,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wydruku zestawienia wszystkich rachunków kontrahenta,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oddzielnego przeglądu wszystkich nierozliczonych rachunków kontrahenta,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usuwania nierozliczonych i rozliczonych rachunków kontrahenta,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rozliczania rachunków nierozlicznych kontrahenta,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kojarzenia rachunków kontrahenta,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wydruku potwierdzenia salda kontrahenta,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tworzenie dokumentu elektronicznego na podstawie potwierdzenia salda kontrahenta (możliwości wysłania go poprzez system EZD na skrytkę kontrahenta),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wykonania spłaty rachunku przelewem elektronicznych w określonym standardzie,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oddzielnego przeglądu wszystkich rozliczonych rachunków kontrahenta,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eksportu informacji o rozliczeniu rachunków kontrahenta do pliku XML,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wydruku zestawienia rachunków rozliczonych i nierozlicznych,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wydruku zestawienia kontrahentów wraz z zadłużeniami lub należnościami,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wystawiania not odsetkowych z możliwością dowolnego definiowania tekstu,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anulowania wystawionych not odsetkowych.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36.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Zarejestrować i zaksięgować realizację dochodów i wydatków ze sprawozdań Rb-27S, Rb-28S z podległych jednostek i urzędów skarbowych.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37.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Naliczyć i wykonać sprawozdania Rb-27S, Rb-28S.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38.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Zarejestrować sprawozdaniaRb-30S, Rb-33, Rb-34S z podległych jednostek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i wykonać sprawozdań zbiorczych.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39.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Naliczyć i wykonać sprawozdanie Rb-50 o dotacjach, wydatkach związanych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wykonywaniem zadań z zakresu administracji rządowej oraz innych zadań zleconych jednostkom samorządu terytorialnego.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40.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Zarejestrować sprawozdania jednostkowe Rb-27ZZ oraz naliczyć zbiorcze sprawozdanie.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41.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Opracować sprawozdanie Rb-NDS.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42.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Zarejestrować jednostkowe sprawozdania Rb-Z, Rb-N oraz naliczyć zbiorcze.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43.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podglądu danych sprawozdań Rb-27S, Rb-28S ze szczegółowością do zadania wraz z informacją o błędach.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44.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Wyeksportować sprawozdania do pliku XML oraz pliku w standardzie zgodnym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z systemem Besti@.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45.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Naliczyć i wydrukować sprawozdania o wydatkach strukturalnych Rb-Wsa.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46.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Przejrzeć i wydrukować stany wydatków strukturalnych.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47.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Przejrzeć i zmienić zarejestrowane dane do sprawozdania Rb-Wsa.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48.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kojarzenia z wydatkami strukturalnymi wydatków budżetowych, które nie zostały uwzględnione w trakcie procesu dekretowania.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49.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Zaimportować sprawozdania o wydatkach strukturalnych z jednostek podległych.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50.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skorzystania z kalkulatora odsetek.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51.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modyfikacji słownika rodzajów dokumentów finansowych.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52.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modyfikacja słownika klasyfikacji strukturalnej, w tym przepisania klasyfikacji strukturalnej z roku poprzedniego.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53.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określania danych nagłówkowych sprawozdań budżetowych na potrzeby eksportu do systemu Besti@.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54.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Zamknąć okres obrachunkowy: miesiąc, rok, z możliwością: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określenia parametrów do przeksięgowań stanów kont na koniec roku,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ustalenia kont klasyfikacji do przeniesienia sald na rok następny w przypadku tworzenia automatycznego bilansu otwarcia,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określenia parametrów i wykonywania automatycznych przeksięgowań sald dzienników,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tworzenia dekretu przeksięgowującego salda dla podanych w parametrach kont,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zamknięcia ksiąg rachunkowych w danym roku wraz z możliwością przeniesienia planu kont oraz BO na rok następny,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wydruku zestawienia brakujących sald bieżącego roku do przeniesienia następnym okresie obrachunkowym.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55.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Sporządzić bilans roczny (Bilans, Rachunek zysków i strat, Zestawienie zmian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w funduszu jednostki) jednostki/budżetu oraz bilans łączny dla jednostki nadrzędnej.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56.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wprowadzenia kont księgowych niezbędnych do naliczenia bilansu i załączników.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57.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wprowadzenia danych uzupełniających do bilansu jednostki lub łącznego.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58.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eksportu bilansu i załączników jednostki podległej do pliku XML.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59.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Użytkownik ma możliwość importu pliku XML z danymi bilansu i załączników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w jednostce nadrzędnej.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60.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Zarejestrować bilanse jednostek w jednostce nadrzędnej w celu naliczenia bilansów łącznych.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61.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otwarcia nowego roku księgowego bez zamykania roku bieżącego – możliwość swobodnej pracy na przełomie lat.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62.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ma możliwość wprowadzania, rozliczania oraz dekretowania wyciągów bankowych: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dodać, edytować, zatwierdzać oraz usuwać wyciągi bankowe,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dodać, edytować, usuwać, rozliczać przelewy z wyciągów bankowych,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tworzyć robocze dokumenty księgowe na podstawie zatwierdzanego wyciągu bankowego.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63.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Możliwość utworzenia w systemie sprawozdań: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Rb-NWS,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Rb-ZN,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Rb-UZ,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Rb-UN,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Rb-50,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Rb-27S,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Rb-28S,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Rb-Wsa,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Rb-30...Rb-34S,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Rb-N,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Rb-Z,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Rb-27ZZ,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Rb-PDP,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Rb-NDS.</w:t>
            </w:r>
          </w:p>
        </w:tc>
      </w:tr>
      <w:tr w:rsidR="00B328AF" w:rsidRPr="00514AC2">
        <w:tc>
          <w:tcPr>
            <w:tcW w:w="568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64.</w:t>
            </w:r>
          </w:p>
        </w:tc>
        <w:tc>
          <w:tcPr>
            <w:tcW w:w="8930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Utworzyć bilans skonsolidowany.</w:t>
            </w:r>
          </w:p>
        </w:tc>
      </w:tr>
    </w:tbl>
    <w:p w:rsidR="00B328AF" w:rsidRPr="00514AC2" w:rsidRDefault="00B328AF" w:rsidP="00FD6FD8">
      <w:pPr>
        <w:pStyle w:val="Heading1"/>
        <w:rPr>
          <w:rFonts w:cs="Times New Roman"/>
          <w:color w:val="000000"/>
        </w:rPr>
      </w:pPr>
      <w:bookmarkStart w:id="20" w:name="_Toc513557979"/>
      <w:r>
        <w:rPr>
          <w:color w:val="000000"/>
        </w:rPr>
        <w:t xml:space="preserve"> </w:t>
      </w:r>
      <w:r w:rsidRPr="00181741">
        <w:rPr>
          <w:b/>
          <w:bCs/>
          <w:color w:val="000000"/>
          <w:u w:val="single"/>
        </w:rPr>
        <w:t>Scenariusz nr 12</w:t>
      </w:r>
      <w:r w:rsidRPr="00514AC2">
        <w:rPr>
          <w:color w:val="000000"/>
        </w:rPr>
        <w:t xml:space="preserve"> w zakresie Zintegrowanego Systemu Dziedzinowego. Obszar masowych przelewów.</w:t>
      </w:r>
      <w:bookmarkEnd w:id="2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8613"/>
      </w:tblGrid>
      <w:tr w:rsidR="00B328AF" w:rsidRPr="00514AC2">
        <w:trPr>
          <w:trHeight w:val="585"/>
        </w:trPr>
        <w:tc>
          <w:tcPr>
            <w:tcW w:w="675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24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Lp.</w:t>
            </w:r>
          </w:p>
        </w:tc>
        <w:tc>
          <w:tcPr>
            <w:tcW w:w="8613" w:type="dxa"/>
            <w:shd w:val="clear" w:color="auto" w:fill="D3E070"/>
            <w:vAlign w:val="center"/>
          </w:tcPr>
          <w:p w:rsidR="00B328AF" w:rsidRPr="00514AC2" w:rsidRDefault="00B328AF" w:rsidP="00E44733">
            <w:pPr>
              <w:spacing w:after="0" w:line="240" w:lineRule="auto"/>
              <w:jc w:val="center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Kroki do wykonania.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1.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Użytkownik loguje się do systemu, wybiera moduł do obsługi płatności masowych.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2.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Dokonać ustawień parametrów niezbędnych do pracy modułu lub zaprezentować wcześniej zdefiniowane ustawienia obejmujące: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banku obsługującego urząd,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oraz formatu plików importowanych z banku.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3.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ustawienia możliwości pracy w wariancie, gdy urząd stosuje konta ogólne: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wprowadzania kont ogólnych z uwzględnieniem podatku/rodzaju należności,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wprowadzania szablonów kont z uwzględnieniem podatku/rodzaju należności,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- generowania identyfikatorów rodzajów należności w ramach kartoteki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i podatku/rodzaju należności dla kont ogólnych, co umożliwia rozróżnienie należności wpłacanych na ogólne konto.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4.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ustawienia możliwości pracy w wariancie, gdy urząd stosuje konta indywidualne: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- generowania indywidualnych rachunków bankowych w ramach kartoteki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i podatku/rodzaju należności,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- wprowadzania ręcznego lub edycji indywidualnego rachunku bankowego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w ramach wybranej kartoteki.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5.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Wygenerować zawiadomienia: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 indywidualnym numerze rachunku bankowego,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o numerze konta ogólnego z podanie identyfikatora, który ma być tytułem przelewu w celu jego identyfikacji podczas wpłaty.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6.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Wykonać import pliku przelewu.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7.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rozdysponowanie przelewów z uwzględnieniem co najmniej: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automatycznego rozliczania przelewów: na rachunek indywidualny, na konto ogólne, gdzie w tytule jest rozpoznawalny identyfikator lub dyspozycja z zewnętrznego systemu do płatności online,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półautomatycznego rozliczania przelewów, z możliwością kontroli rozdysponowania na ekranie: na rachunek indywidualny, na konto ogólne, gdzie w tytule jest rozpoznawalny identyfikator, dyspozycję z systemu do płatności online z możliwością ręcznej zmiany dyspozycji proponowanej przez system,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ręcznego rozdysponowania,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rozdysponowania na należność własną wpłacającego lub należności innej osoby (np. wpłata komornicza),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rozdysponowania na kwoty do wyjaśnienia w ramach wybranego podatku/rodzaju należności,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zaznaczenia operacji na wyciągu bankowych jako rozliczoną w module finansowo-księgowym lub poza systemem,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rozliczenia przelewu.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8.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Obsłużyć wyciąg bankowy z uwzględnieniem co najmniej: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automatycznego rozliczenie wyciągu po rozliczeniu wszystkich operacji,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 xml:space="preserve">- tworzenia dekretu na podstawie wyciągu w ramach wybranego kontekstu </w:t>
            </w:r>
            <w:r w:rsidRPr="00514AC2">
              <w:rPr>
                <w:rFonts w:ascii="Tw Cen MT" w:hAnsi="Tw Cen MT" w:cs="Tw Cen MT"/>
                <w:color w:val="000000"/>
                <w:lang w:eastAsia="pl-PL"/>
              </w:rPr>
              <w:br/>
              <w:t>w module finansowo-księgowym,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wydruk wyciągu bankowego,</w:t>
            </w:r>
          </w:p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- wydruku utworzonego dekretu.</w:t>
            </w:r>
          </w:p>
        </w:tc>
      </w:tr>
      <w:tr w:rsidR="00B328AF" w:rsidRPr="00514AC2">
        <w:tc>
          <w:tcPr>
            <w:tcW w:w="675" w:type="dxa"/>
            <w:vAlign w:val="center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9.</w:t>
            </w:r>
          </w:p>
        </w:tc>
        <w:tc>
          <w:tcPr>
            <w:tcW w:w="8613" w:type="dxa"/>
          </w:tcPr>
          <w:p w:rsidR="00B328AF" w:rsidRPr="00514AC2" w:rsidRDefault="00B328AF" w:rsidP="00E44733">
            <w:pPr>
              <w:spacing w:after="0" w:line="360" w:lineRule="auto"/>
              <w:jc w:val="both"/>
              <w:rPr>
                <w:rFonts w:ascii="Tw Cen MT" w:hAnsi="Tw Cen MT" w:cs="Tw Cen MT"/>
                <w:color w:val="000000"/>
                <w:lang w:eastAsia="pl-PL"/>
              </w:rPr>
            </w:pPr>
            <w:r w:rsidRPr="00514AC2">
              <w:rPr>
                <w:rFonts w:ascii="Tw Cen MT" w:hAnsi="Tw Cen MT" w:cs="Tw Cen MT"/>
                <w:color w:val="000000"/>
                <w:lang w:eastAsia="pl-PL"/>
              </w:rPr>
              <w:t>Sprawdzić integrację z modułem księgowania zobowiązań w zakresie księgowania wpłat na należności.</w:t>
            </w:r>
          </w:p>
        </w:tc>
      </w:tr>
    </w:tbl>
    <w:p w:rsidR="00B328AF" w:rsidRPr="00514AC2" w:rsidRDefault="00B328AF" w:rsidP="00B8194E">
      <w:pPr>
        <w:rPr>
          <w:color w:val="000000"/>
          <w:sz w:val="32"/>
          <w:szCs w:val="32"/>
        </w:rPr>
      </w:pPr>
    </w:p>
    <w:p w:rsidR="00B328AF" w:rsidRPr="00514AC2" w:rsidRDefault="00B328AF" w:rsidP="00B8194E">
      <w:pPr>
        <w:rPr>
          <w:color w:val="000000"/>
        </w:rPr>
      </w:pPr>
    </w:p>
    <w:sectPr w:rsidR="00B328AF" w:rsidRPr="00514AC2" w:rsidSect="00101D96">
      <w:footerReference w:type="default" r:id="rId7"/>
      <w:headerReference w:type="first" r:id="rId8"/>
      <w:pgSz w:w="11906" w:h="16838"/>
      <w:pgMar w:top="1021" w:right="1134" w:bottom="1021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8AF" w:rsidRDefault="00B328AF" w:rsidP="008F4458">
      <w:pPr>
        <w:spacing w:after="0" w:line="240" w:lineRule="auto"/>
      </w:pPr>
      <w:r>
        <w:separator/>
      </w:r>
    </w:p>
  </w:endnote>
  <w:endnote w:type="continuationSeparator" w:id="1">
    <w:p w:rsidR="00B328AF" w:rsidRDefault="00B328AF" w:rsidP="008F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w Cen MT">
    <w:altName w:val="Lucida Sans Unicode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Calibri Light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OpenSymbol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AF" w:rsidRDefault="00B328AF">
    <w:pPr>
      <w:pStyle w:val="Footer"/>
      <w:jc w:val="right"/>
    </w:pPr>
    <w:r>
      <w:t xml:space="preserve">Strona | </w:t>
    </w:r>
    <w:fldSimple w:instr="PAGE   \* MERGEFORMAT">
      <w:r>
        <w:rPr>
          <w:noProof/>
        </w:rPr>
        <w:t>1</w:t>
      </w:r>
    </w:fldSimple>
    <w:r>
      <w:t xml:space="preserve"> </w:t>
    </w:r>
  </w:p>
  <w:p w:rsidR="00B328AF" w:rsidRDefault="00B32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8AF" w:rsidRDefault="00B328AF" w:rsidP="008F4458">
      <w:pPr>
        <w:spacing w:after="0" w:line="240" w:lineRule="auto"/>
      </w:pPr>
      <w:r>
        <w:separator/>
      </w:r>
    </w:p>
  </w:footnote>
  <w:footnote w:type="continuationSeparator" w:id="1">
    <w:p w:rsidR="00B328AF" w:rsidRDefault="00B328AF" w:rsidP="008F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AF" w:rsidRDefault="00B328AF" w:rsidP="008F4458">
    <w:pPr>
      <w:pStyle w:val="Header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left:0;text-align:left;margin-left:0;margin-top:-37.5pt;width:453.6pt;height:43.6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D08"/>
    <w:multiLevelType w:val="multilevel"/>
    <w:tmpl w:val="D58ACA7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1">
    <w:nsid w:val="04D04F3D"/>
    <w:multiLevelType w:val="multilevel"/>
    <w:tmpl w:val="5C7A08C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2">
    <w:nsid w:val="08EC7376"/>
    <w:multiLevelType w:val="multilevel"/>
    <w:tmpl w:val="7556C0C2"/>
    <w:lvl w:ilvl="0">
      <w:start w:val="1"/>
      <w:numFmt w:val="lowerLetter"/>
      <w:lvlText w:val="%1)"/>
      <w:lvlJc w:val="left"/>
      <w:rPr>
        <w:rFonts w:ascii="Calibri" w:eastAsia="Times New Roman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CE7A16"/>
    <w:multiLevelType w:val="hybridMultilevel"/>
    <w:tmpl w:val="DC98561E"/>
    <w:lvl w:ilvl="0" w:tplc="0250FE5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E2AC6"/>
    <w:multiLevelType w:val="multilevel"/>
    <w:tmpl w:val="2F66CCB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5">
    <w:nsid w:val="178D2F14"/>
    <w:multiLevelType w:val="multilevel"/>
    <w:tmpl w:val="58AE721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6">
    <w:nsid w:val="1F91310B"/>
    <w:multiLevelType w:val="hybridMultilevel"/>
    <w:tmpl w:val="A17A3CBE"/>
    <w:lvl w:ilvl="0" w:tplc="E1B46AA2">
      <w:start w:val="1"/>
      <w:numFmt w:val="decimal"/>
      <w:pStyle w:val="Wytyczne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A5C4BCBE">
      <w:start w:val="1"/>
      <w:numFmt w:val="lowerLetter"/>
      <w:pStyle w:val="Podwytyczne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85211"/>
    <w:multiLevelType w:val="multilevel"/>
    <w:tmpl w:val="D19E365E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8">
    <w:nsid w:val="22332B59"/>
    <w:multiLevelType w:val="multilevel"/>
    <w:tmpl w:val="FBFCA74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9">
    <w:nsid w:val="22EE4EF7"/>
    <w:multiLevelType w:val="multilevel"/>
    <w:tmpl w:val="0D4A23D6"/>
    <w:styleLink w:val="SDwypunktowanie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spacing w:val="2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C1EA4"/>
    <w:multiLevelType w:val="hybridMultilevel"/>
    <w:tmpl w:val="8CDC70C0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675C81"/>
    <w:multiLevelType w:val="multilevel"/>
    <w:tmpl w:val="814A6C02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12">
    <w:nsid w:val="41DC588C"/>
    <w:multiLevelType w:val="multilevel"/>
    <w:tmpl w:val="07A0D644"/>
    <w:styleLink w:val="SDwypunktowanie3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cs="Courier New"/>
        <w:spacing w:val="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3048"/>
        </w:tabs>
        <w:ind w:left="3048" w:hanging="397"/>
      </w:pPr>
      <w:rPr>
        <w:rFonts w:ascii="Courier New" w:hAnsi="Courier New" w:cs="Courier New"/>
        <w:spacing w:val="2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3">
    <w:nsid w:val="448030E6"/>
    <w:multiLevelType w:val="multilevel"/>
    <w:tmpl w:val="22C8D4A4"/>
    <w:lvl w:ilvl="0">
      <w:start w:val="1"/>
      <w:numFmt w:val="decimal"/>
      <w:lvlText w:val="%1."/>
      <w:lvlJc w:val="left"/>
      <w:rPr>
        <w:rFonts w:ascii="Calibri" w:eastAsia="Times New Roman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B51267"/>
    <w:multiLevelType w:val="hybridMultilevel"/>
    <w:tmpl w:val="549E8830"/>
    <w:lvl w:ilvl="0" w:tplc="FBA0BA30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BA28E3"/>
    <w:multiLevelType w:val="hybridMultilevel"/>
    <w:tmpl w:val="93F21630"/>
    <w:lvl w:ilvl="0" w:tplc="9C12F57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074C0F"/>
    <w:multiLevelType w:val="hybridMultilevel"/>
    <w:tmpl w:val="50EA83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A36B7"/>
    <w:multiLevelType w:val="hybridMultilevel"/>
    <w:tmpl w:val="8CDC70C0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4C7220"/>
    <w:multiLevelType w:val="hybridMultilevel"/>
    <w:tmpl w:val="549E8830"/>
    <w:lvl w:ilvl="0" w:tplc="FBA0BA30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1A340A"/>
    <w:multiLevelType w:val="hybridMultilevel"/>
    <w:tmpl w:val="549E8830"/>
    <w:lvl w:ilvl="0" w:tplc="FBA0BA30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9F03C7"/>
    <w:multiLevelType w:val="multilevel"/>
    <w:tmpl w:val="70F4C0F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1">
    <w:nsid w:val="6B9F03AF"/>
    <w:multiLevelType w:val="hybridMultilevel"/>
    <w:tmpl w:val="549E8830"/>
    <w:lvl w:ilvl="0" w:tplc="FBA0BA30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C25C30"/>
    <w:multiLevelType w:val="multilevel"/>
    <w:tmpl w:val="932210E0"/>
    <w:styleLink w:val="SDwypunktowanie2"/>
    <w:lvl w:ilvl="0">
      <w:start w:val="1"/>
      <w:numFmt w:val="bullet"/>
      <w:lvlText w:val="−"/>
      <w:lvlJc w:val="left"/>
      <w:pPr>
        <w:tabs>
          <w:tab w:val="num" w:pos="284"/>
        </w:tabs>
        <w:ind w:left="567" w:hanging="283"/>
      </w:pPr>
      <w:rPr>
        <w:rFonts w:ascii="Century Gothic" w:hAnsi="Century Gothic" w:cs="Century Gothic"/>
        <w:spacing w:val="2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380121"/>
    <w:multiLevelType w:val="hybridMultilevel"/>
    <w:tmpl w:val="549E8830"/>
    <w:lvl w:ilvl="0" w:tplc="FBA0BA30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191FEA"/>
    <w:multiLevelType w:val="hybridMultilevel"/>
    <w:tmpl w:val="94761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24355"/>
    <w:multiLevelType w:val="hybridMultilevel"/>
    <w:tmpl w:val="8CDC70C0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12215A"/>
    <w:multiLevelType w:val="multilevel"/>
    <w:tmpl w:val="4BB86A2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num w:numId="1">
    <w:abstractNumId w:val="9"/>
  </w:num>
  <w:num w:numId="2">
    <w:abstractNumId w:val="22"/>
  </w:num>
  <w:num w:numId="3">
    <w:abstractNumId w:val="12"/>
  </w:num>
  <w:num w:numId="4">
    <w:abstractNumId w:val="6"/>
  </w:num>
  <w:num w:numId="5">
    <w:abstractNumId w:val="24"/>
  </w:num>
  <w:num w:numId="6">
    <w:abstractNumId w:val="16"/>
  </w:num>
  <w:num w:numId="7">
    <w:abstractNumId w:val="17"/>
  </w:num>
  <w:num w:numId="8">
    <w:abstractNumId w:val="14"/>
  </w:num>
  <w:num w:numId="9">
    <w:abstractNumId w:val="25"/>
  </w:num>
  <w:num w:numId="10">
    <w:abstractNumId w:val="10"/>
  </w:num>
  <w:num w:numId="11">
    <w:abstractNumId w:val="21"/>
  </w:num>
  <w:num w:numId="12">
    <w:abstractNumId w:val="19"/>
  </w:num>
  <w:num w:numId="13">
    <w:abstractNumId w:val="23"/>
  </w:num>
  <w:num w:numId="14">
    <w:abstractNumId w:val="18"/>
  </w:num>
  <w:num w:numId="15">
    <w:abstractNumId w:val="2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w Cen MT" w:hint="default"/>
        </w:rPr>
      </w:lvl>
    </w:lvlOverride>
  </w:num>
  <w:num w:numId="16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w Cen MT" w:hint="default"/>
        </w:rPr>
      </w:lvl>
    </w:lvlOverride>
  </w:num>
  <w:num w:numId="1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w Cen MT" w:hint="default"/>
        </w:rPr>
      </w:lvl>
    </w:lvlOverride>
  </w:num>
  <w:num w:numId="18">
    <w:abstractNumId w:val="26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w Cen MT" w:hint="default"/>
        </w:rPr>
      </w:lvl>
    </w:lvlOverride>
  </w:num>
  <w:num w:numId="21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w Cen MT" w:hint="default"/>
        </w:rPr>
      </w:lvl>
    </w:lvlOverride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w Cen MT" w:hint="default"/>
        </w:rPr>
      </w:lvl>
    </w:lvlOverride>
  </w:num>
  <w:num w:numId="23">
    <w:abstractNumId w:val="0"/>
  </w:num>
  <w:num w:numId="24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w Cen MT" w:hint="default"/>
        </w:rPr>
      </w:lvl>
    </w:lvlOverride>
  </w:num>
  <w:num w:numId="2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w Cen MT" w:hint="default"/>
        </w:rPr>
      </w:lvl>
    </w:lvlOverride>
  </w:num>
  <w:num w:numId="26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w Cen MT" w:hAnsi="Tw Cen MT" w:cs="Tw Cen MT" w:hint="default"/>
        </w:rPr>
      </w:lvl>
    </w:lvlOverride>
  </w:num>
  <w:num w:numId="27">
    <w:abstractNumId w:val="0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"/>
  </w:num>
  <w:num w:numId="32">
    <w:abstractNumId w:val="4"/>
  </w:num>
  <w:num w:numId="33">
    <w:abstractNumId w:val="5"/>
  </w:num>
  <w:num w:numId="34">
    <w:abstractNumId w:val="7"/>
  </w:num>
  <w:num w:numId="35">
    <w:abstractNumId w:val="8"/>
  </w:num>
  <w:num w:numId="36">
    <w:abstractNumId w:val="11"/>
  </w:num>
  <w:num w:numId="37">
    <w:abstractNumId w:val="26"/>
  </w:num>
  <w:num w:numId="38">
    <w:abstractNumId w:val="13"/>
  </w:num>
  <w:num w:numId="39">
    <w:abstractNumId w:val="2"/>
  </w:num>
  <w:num w:numId="40">
    <w:abstractNumId w:val="15"/>
  </w:num>
  <w:num w:numId="41">
    <w:abstractNumId w:val="3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F56"/>
    <w:rsid w:val="00000BFB"/>
    <w:rsid w:val="0000287A"/>
    <w:rsid w:val="00006C7D"/>
    <w:rsid w:val="00007B49"/>
    <w:rsid w:val="0001204A"/>
    <w:rsid w:val="00014132"/>
    <w:rsid w:val="000206C8"/>
    <w:rsid w:val="000309A7"/>
    <w:rsid w:val="00030A90"/>
    <w:rsid w:val="000352A3"/>
    <w:rsid w:val="000352C4"/>
    <w:rsid w:val="0003791F"/>
    <w:rsid w:val="00043152"/>
    <w:rsid w:val="00045D3F"/>
    <w:rsid w:val="000536B3"/>
    <w:rsid w:val="00053BCC"/>
    <w:rsid w:val="0006054B"/>
    <w:rsid w:val="00063396"/>
    <w:rsid w:val="00064ECB"/>
    <w:rsid w:val="000706F0"/>
    <w:rsid w:val="000709D0"/>
    <w:rsid w:val="0007209E"/>
    <w:rsid w:val="00072B96"/>
    <w:rsid w:val="00081B39"/>
    <w:rsid w:val="00083957"/>
    <w:rsid w:val="00084BC8"/>
    <w:rsid w:val="000867C3"/>
    <w:rsid w:val="0009199D"/>
    <w:rsid w:val="000A1204"/>
    <w:rsid w:val="000A13FA"/>
    <w:rsid w:val="000A1E8A"/>
    <w:rsid w:val="000A3723"/>
    <w:rsid w:val="000A3EBB"/>
    <w:rsid w:val="000A6B8C"/>
    <w:rsid w:val="000B1C15"/>
    <w:rsid w:val="000B4806"/>
    <w:rsid w:val="000B4D72"/>
    <w:rsid w:val="000B5067"/>
    <w:rsid w:val="000B6BAF"/>
    <w:rsid w:val="000B7F63"/>
    <w:rsid w:val="000C02AA"/>
    <w:rsid w:val="000C160E"/>
    <w:rsid w:val="000C2520"/>
    <w:rsid w:val="000C379B"/>
    <w:rsid w:val="000C425E"/>
    <w:rsid w:val="000D0C44"/>
    <w:rsid w:val="000D31FF"/>
    <w:rsid w:val="000E1896"/>
    <w:rsid w:val="000E194C"/>
    <w:rsid w:val="000E1DFB"/>
    <w:rsid w:val="000E2CA0"/>
    <w:rsid w:val="000E3535"/>
    <w:rsid w:val="000F0A29"/>
    <w:rsid w:val="000F217F"/>
    <w:rsid w:val="000F54FB"/>
    <w:rsid w:val="000F6E66"/>
    <w:rsid w:val="00100716"/>
    <w:rsid w:val="00101D96"/>
    <w:rsid w:val="001066D2"/>
    <w:rsid w:val="00106D8D"/>
    <w:rsid w:val="00110F1F"/>
    <w:rsid w:val="00112E1B"/>
    <w:rsid w:val="0011610E"/>
    <w:rsid w:val="001177B3"/>
    <w:rsid w:val="00121E29"/>
    <w:rsid w:val="00122237"/>
    <w:rsid w:val="00123F38"/>
    <w:rsid w:val="00131009"/>
    <w:rsid w:val="0013166F"/>
    <w:rsid w:val="00131A44"/>
    <w:rsid w:val="0013207D"/>
    <w:rsid w:val="001404BF"/>
    <w:rsid w:val="001421C3"/>
    <w:rsid w:val="00143530"/>
    <w:rsid w:val="00144256"/>
    <w:rsid w:val="00152793"/>
    <w:rsid w:val="00155316"/>
    <w:rsid w:val="0015732B"/>
    <w:rsid w:val="001579F5"/>
    <w:rsid w:val="001644E4"/>
    <w:rsid w:val="00164F96"/>
    <w:rsid w:val="00165DFF"/>
    <w:rsid w:val="0017303D"/>
    <w:rsid w:val="00173EF1"/>
    <w:rsid w:val="0017427E"/>
    <w:rsid w:val="00176EE4"/>
    <w:rsid w:val="00181741"/>
    <w:rsid w:val="001830B6"/>
    <w:rsid w:val="001879E1"/>
    <w:rsid w:val="00190227"/>
    <w:rsid w:val="001920DE"/>
    <w:rsid w:val="001A004A"/>
    <w:rsid w:val="001A3727"/>
    <w:rsid w:val="001A37A0"/>
    <w:rsid w:val="001A753B"/>
    <w:rsid w:val="001B16C0"/>
    <w:rsid w:val="001B610D"/>
    <w:rsid w:val="001C0EB5"/>
    <w:rsid w:val="001C6AE8"/>
    <w:rsid w:val="001C7E32"/>
    <w:rsid w:val="001D19F2"/>
    <w:rsid w:val="001D2AE3"/>
    <w:rsid w:val="001D3459"/>
    <w:rsid w:val="001E31E8"/>
    <w:rsid w:val="001E35C8"/>
    <w:rsid w:val="001E400E"/>
    <w:rsid w:val="001E7E3C"/>
    <w:rsid w:val="001F2F20"/>
    <w:rsid w:val="001F3DE0"/>
    <w:rsid w:val="001F48EB"/>
    <w:rsid w:val="001F4A43"/>
    <w:rsid w:val="00200269"/>
    <w:rsid w:val="00204773"/>
    <w:rsid w:val="00205762"/>
    <w:rsid w:val="002065FC"/>
    <w:rsid w:val="00210080"/>
    <w:rsid w:val="00210C94"/>
    <w:rsid w:val="00213958"/>
    <w:rsid w:val="0021647E"/>
    <w:rsid w:val="00216C1C"/>
    <w:rsid w:val="00216C70"/>
    <w:rsid w:val="00217EE8"/>
    <w:rsid w:val="002215FD"/>
    <w:rsid w:val="00224DBE"/>
    <w:rsid w:val="002258A6"/>
    <w:rsid w:val="002279C8"/>
    <w:rsid w:val="0023368F"/>
    <w:rsid w:val="002357CB"/>
    <w:rsid w:val="00235B55"/>
    <w:rsid w:val="00235D60"/>
    <w:rsid w:val="002437BD"/>
    <w:rsid w:val="00255CC7"/>
    <w:rsid w:val="0025793E"/>
    <w:rsid w:val="00264F6F"/>
    <w:rsid w:val="00266D52"/>
    <w:rsid w:val="00270D0D"/>
    <w:rsid w:val="00271D43"/>
    <w:rsid w:val="00271F2E"/>
    <w:rsid w:val="00281457"/>
    <w:rsid w:val="00286F0A"/>
    <w:rsid w:val="0028783E"/>
    <w:rsid w:val="00287A56"/>
    <w:rsid w:val="002919BD"/>
    <w:rsid w:val="00291BF5"/>
    <w:rsid w:val="00295D89"/>
    <w:rsid w:val="002A10D4"/>
    <w:rsid w:val="002A2429"/>
    <w:rsid w:val="002A2D71"/>
    <w:rsid w:val="002A3457"/>
    <w:rsid w:val="002A6677"/>
    <w:rsid w:val="002B09D5"/>
    <w:rsid w:val="002B2832"/>
    <w:rsid w:val="002B4405"/>
    <w:rsid w:val="002C2B29"/>
    <w:rsid w:val="002C31F1"/>
    <w:rsid w:val="002C521D"/>
    <w:rsid w:val="002C795F"/>
    <w:rsid w:val="002C7A3C"/>
    <w:rsid w:val="002D402C"/>
    <w:rsid w:val="002D7228"/>
    <w:rsid w:val="002E08EE"/>
    <w:rsid w:val="002E2110"/>
    <w:rsid w:val="002E26CF"/>
    <w:rsid w:val="002E3A68"/>
    <w:rsid w:val="002E6962"/>
    <w:rsid w:val="002F0891"/>
    <w:rsid w:val="002F2F5A"/>
    <w:rsid w:val="002F342D"/>
    <w:rsid w:val="002F431D"/>
    <w:rsid w:val="002F5054"/>
    <w:rsid w:val="002F5965"/>
    <w:rsid w:val="002F6257"/>
    <w:rsid w:val="002F711B"/>
    <w:rsid w:val="00300246"/>
    <w:rsid w:val="00302349"/>
    <w:rsid w:val="00302597"/>
    <w:rsid w:val="003029B6"/>
    <w:rsid w:val="00304CD3"/>
    <w:rsid w:val="00307710"/>
    <w:rsid w:val="0031095C"/>
    <w:rsid w:val="00310EB4"/>
    <w:rsid w:val="0031390D"/>
    <w:rsid w:val="00313AEF"/>
    <w:rsid w:val="0031493A"/>
    <w:rsid w:val="003173E0"/>
    <w:rsid w:val="00320911"/>
    <w:rsid w:val="00323CBE"/>
    <w:rsid w:val="00324C04"/>
    <w:rsid w:val="003272E8"/>
    <w:rsid w:val="003300B5"/>
    <w:rsid w:val="00330123"/>
    <w:rsid w:val="00330CD0"/>
    <w:rsid w:val="00334225"/>
    <w:rsid w:val="00334E4A"/>
    <w:rsid w:val="00336F25"/>
    <w:rsid w:val="00337A8C"/>
    <w:rsid w:val="003420F0"/>
    <w:rsid w:val="00342167"/>
    <w:rsid w:val="00343C41"/>
    <w:rsid w:val="00344074"/>
    <w:rsid w:val="00345AA3"/>
    <w:rsid w:val="0034747F"/>
    <w:rsid w:val="0035363D"/>
    <w:rsid w:val="00354B57"/>
    <w:rsid w:val="00355FF5"/>
    <w:rsid w:val="00357AA1"/>
    <w:rsid w:val="00362085"/>
    <w:rsid w:val="00362CDB"/>
    <w:rsid w:val="00367C54"/>
    <w:rsid w:val="00370F9F"/>
    <w:rsid w:val="00381CB3"/>
    <w:rsid w:val="003852B5"/>
    <w:rsid w:val="00385714"/>
    <w:rsid w:val="003861F9"/>
    <w:rsid w:val="0038643E"/>
    <w:rsid w:val="0038757E"/>
    <w:rsid w:val="0039100D"/>
    <w:rsid w:val="00392C9B"/>
    <w:rsid w:val="00393255"/>
    <w:rsid w:val="003A0FE5"/>
    <w:rsid w:val="003A4AA6"/>
    <w:rsid w:val="003A7F9C"/>
    <w:rsid w:val="003B091D"/>
    <w:rsid w:val="003B0CA4"/>
    <w:rsid w:val="003B72F7"/>
    <w:rsid w:val="003B7AEB"/>
    <w:rsid w:val="003B7D28"/>
    <w:rsid w:val="003B7D37"/>
    <w:rsid w:val="003B7E2D"/>
    <w:rsid w:val="003C1192"/>
    <w:rsid w:val="003C5564"/>
    <w:rsid w:val="003C67D5"/>
    <w:rsid w:val="003D5B7E"/>
    <w:rsid w:val="003D5E7D"/>
    <w:rsid w:val="003E0403"/>
    <w:rsid w:val="003E39B0"/>
    <w:rsid w:val="003E7314"/>
    <w:rsid w:val="003F3611"/>
    <w:rsid w:val="003F59DE"/>
    <w:rsid w:val="00407D2D"/>
    <w:rsid w:val="0041050A"/>
    <w:rsid w:val="0041127F"/>
    <w:rsid w:val="00412A6E"/>
    <w:rsid w:val="004163AB"/>
    <w:rsid w:val="00416415"/>
    <w:rsid w:val="00416A43"/>
    <w:rsid w:val="004220E3"/>
    <w:rsid w:val="0043144D"/>
    <w:rsid w:val="004377EC"/>
    <w:rsid w:val="00440D73"/>
    <w:rsid w:val="00440D9D"/>
    <w:rsid w:val="004411BD"/>
    <w:rsid w:val="00445744"/>
    <w:rsid w:val="00450295"/>
    <w:rsid w:val="004514B1"/>
    <w:rsid w:val="00451A75"/>
    <w:rsid w:val="00457399"/>
    <w:rsid w:val="00461EA9"/>
    <w:rsid w:val="00464AF9"/>
    <w:rsid w:val="004662EB"/>
    <w:rsid w:val="00473B22"/>
    <w:rsid w:val="004760B8"/>
    <w:rsid w:val="004830EC"/>
    <w:rsid w:val="00483403"/>
    <w:rsid w:val="00483A87"/>
    <w:rsid w:val="004908E2"/>
    <w:rsid w:val="00491CA0"/>
    <w:rsid w:val="0049469E"/>
    <w:rsid w:val="004A326E"/>
    <w:rsid w:val="004A654A"/>
    <w:rsid w:val="004A771F"/>
    <w:rsid w:val="004B3A7B"/>
    <w:rsid w:val="004B7E3F"/>
    <w:rsid w:val="004C001D"/>
    <w:rsid w:val="004C04F2"/>
    <w:rsid w:val="004C089C"/>
    <w:rsid w:val="004C0953"/>
    <w:rsid w:val="004C1F69"/>
    <w:rsid w:val="004C4574"/>
    <w:rsid w:val="004C672A"/>
    <w:rsid w:val="004D5A32"/>
    <w:rsid w:val="004E5616"/>
    <w:rsid w:val="004F0F56"/>
    <w:rsid w:val="004F19B7"/>
    <w:rsid w:val="004F5735"/>
    <w:rsid w:val="004F6ECE"/>
    <w:rsid w:val="004F75A2"/>
    <w:rsid w:val="00501FA4"/>
    <w:rsid w:val="00502302"/>
    <w:rsid w:val="00502408"/>
    <w:rsid w:val="005046CC"/>
    <w:rsid w:val="00513020"/>
    <w:rsid w:val="00514AC2"/>
    <w:rsid w:val="00515B89"/>
    <w:rsid w:val="00521635"/>
    <w:rsid w:val="005217A3"/>
    <w:rsid w:val="00521A02"/>
    <w:rsid w:val="00525EE1"/>
    <w:rsid w:val="00526EB1"/>
    <w:rsid w:val="00535D27"/>
    <w:rsid w:val="00537DC2"/>
    <w:rsid w:val="005409DC"/>
    <w:rsid w:val="00541D74"/>
    <w:rsid w:val="00542144"/>
    <w:rsid w:val="0054629F"/>
    <w:rsid w:val="00546552"/>
    <w:rsid w:val="005502D2"/>
    <w:rsid w:val="00550F27"/>
    <w:rsid w:val="005514C7"/>
    <w:rsid w:val="00554595"/>
    <w:rsid w:val="00554775"/>
    <w:rsid w:val="00554802"/>
    <w:rsid w:val="00561D56"/>
    <w:rsid w:val="00562078"/>
    <w:rsid w:val="005633D0"/>
    <w:rsid w:val="00563784"/>
    <w:rsid w:val="00564841"/>
    <w:rsid w:val="00567D48"/>
    <w:rsid w:val="00575061"/>
    <w:rsid w:val="0057526E"/>
    <w:rsid w:val="0058089E"/>
    <w:rsid w:val="00580AA8"/>
    <w:rsid w:val="005913B2"/>
    <w:rsid w:val="00592602"/>
    <w:rsid w:val="005963D7"/>
    <w:rsid w:val="005964C1"/>
    <w:rsid w:val="00596A4B"/>
    <w:rsid w:val="005A2307"/>
    <w:rsid w:val="005A2436"/>
    <w:rsid w:val="005A2A1A"/>
    <w:rsid w:val="005A6CE5"/>
    <w:rsid w:val="005A71D7"/>
    <w:rsid w:val="005A7684"/>
    <w:rsid w:val="005B43B0"/>
    <w:rsid w:val="005B5A0A"/>
    <w:rsid w:val="005B6519"/>
    <w:rsid w:val="005C05E9"/>
    <w:rsid w:val="005C0AE6"/>
    <w:rsid w:val="005C1FD4"/>
    <w:rsid w:val="005C2B29"/>
    <w:rsid w:val="005C3278"/>
    <w:rsid w:val="005C50A2"/>
    <w:rsid w:val="005C5BDD"/>
    <w:rsid w:val="005D36CE"/>
    <w:rsid w:val="005D3C2B"/>
    <w:rsid w:val="005D43CF"/>
    <w:rsid w:val="005D6850"/>
    <w:rsid w:val="005E6E4B"/>
    <w:rsid w:val="005F1892"/>
    <w:rsid w:val="005F1D55"/>
    <w:rsid w:val="005F305D"/>
    <w:rsid w:val="005F36FB"/>
    <w:rsid w:val="005F6BBE"/>
    <w:rsid w:val="005F7ED6"/>
    <w:rsid w:val="00616001"/>
    <w:rsid w:val="00621DE6"/>
    <w:rsid w:val="00622A31"/>
    <w:rsid w:val="00623EF1"/>
    <w:rsid w:val="00625F5B"/>
    <w:rsid w:val="006319BD"/>
    <w:rsid w:val="00636270"/>
    <w:rsid w:val="00641FA0"/>
    <w:rsid w:val="00646370"/>
    <w:rsid w:val="00651630"/>
    <w:rsid w:val="00653A91"/>
    <w:rsid w:val="00656D5D"/>
    <w:rsid w:val="00660B65"/>
    <w:rsid w:val="006658BC"/>
    <w:rsid w:val="00665FAB"/>
    <w:rsid w:val="00666C2A"/>
    <w:rsid w:val="006740EA"/>
    <w:rsid w:val="0067566D"/>
    <w:rsid w:val="00677C45"/>
    <w:rsid w:val="00677CAD"/>
    <w:rsid w:val="0068174E"/>
    <w:rsid w:val="00684CBD"/>
    <w:rsid w:val="0069043C"/>
    <w:rsid w:val="006B150D"/>
    <w:rsid w:val="006B330E"/>
    <w:rsid w:val="006B58C9"/>
    <w:rsid w:val="006B621B"/>
    <w:rsid w:val="006B640B"/>
    <w:rsid w:val="006C0EBD"/>
    <w:rsid w:val="006C3164"/>
    <w:rsid w:val="006C4F1B"/>
    <w:rsid w:val="006D29F4"/>
    <w:rsid w:val="006D3145"/>
    <w:rsid w:val="006D7FED"/>
    <w:rsid w:val="006E2813"/>
    <w:rsid w:val="006E4691"/>
    <w:rsid w:val="006E5798"/>
    <w:rsid w:val="006F0EBE"/>
    <w:rsid w:val="006F2244"/>
    <w:rsid w:val="006F3420"/>
    <w:rsid w:val="00701C30"/>
    <w:rsid w:val="00703446"/>
    <w:rsid w:val="00704B19"/>
    <w:rsid w:val="00710FD0"/>
    <w:rsid w:val="00712EF5"/>
    <w:rsid w:val="0071418D"/>
    <w:rsid w:val="00717514"/>
    <w:rsid w:val="00722CAC"/>
    <w:rsid w:val="0072379F"/>
    <w:rsid w:val="00726280"/>
    <w:rsid w:val="007326F9"/>
    <w:rsid w:val="007355E0"/>
    <w:rsid w:val="00737D5A"/>
    <w:rsid w:val="007411CC"/>
    <w:rsid w:val="0074525C"/>
    <w:rsid w:val="007528A4"/>
    <w:rsid w:val="007548C5"/>
    <w:rsid w:val="0075519E"/>
    <w:rsid w:val="0076006F"/>
    <w:rsid w:val="00763585"/>
    <w:rsid w:val="00776498"/>
    <w:rsid w:val="00776CEA"/>
    <w:rsid w:val="00780282"/>
    <w:rsid w:val="00780582"/>
    <w:rsid w:val="0078235B"/>
    <w:rsid w:val="00793AC4"/>
    <w:rsid w:val="007B196C"/>
    <w:rsid w:val="007B28BB"/>
    <w:rsid w:val="007C3542"/>
    <w:rsid w:val="007C65BB"/>
    <w:rsid w:val="007C7A42"/>
    <w:rsid w:val="007D092C"/>
    <w:rsid w:val="007D14F5"/>
    <w:rsid w:val="007D309F"/>
    <w:rsid w:val="007E6D07"/>
    <w:rsid w:val="007F063B"/>
    <w:rsid w:val="007F1D2F"/>
    <w:rsid w:val="007F2C78"/>
    <w:rsid w:val="007F36F0"/>
    <w:rsid w:val="007F7EAF"/>
    <w:rsid w:val="008003FC"/>
    <w:rsid w:val="0080299B"/>
    <w:rsid w:val="008031F8"/>
    <w:rsid w:val="0080656C"/>
    <w:rsid w:val="0080724A"/>
    <w:rsid w:val="00811A3A"/>
    <w:rsid w:val="00817FAD"/>
    <w:rsid w:val="00820963"/>
    <w:rsid w:val="00822D35"/>
    <w:rsid w:val="00822FB6"/>
    <w:rsid w:val="00827DDF"/>
    <w:rsid w:val="008331E8"/>
    <w:rsid w:val="00834393"/>
    <w:rsid w:val="00840316"/>
    <w:rsid w:val="0084093B"/>
    <w:rsid w:val="0084482E"/>
    <w:rsid w:val="00844B10"/>
    <w:rsid w:val="00845D94"/>
    <w:rsid w:val="008462E7"/>
    <w:rsid w:val="00855E62"/>
    <w:rsid w:val="00860E83"/>
    <w:rsid w:val="008620C2"/>
    <w:rsid w:val="00863F9D"/>
    <w:rsid w:val="008731A3"/>
    <w:rsid w:val="00873A79"/>
    <w:rsid w:val="00875CAD"/>
    <w:rsid w:val="00882399"/>
    <w:rsid w:val="0088435A"/>
    <w:rsid w:val="008856F0"/>
    <w:rsid w:val="00891B6E"/>
    <w:rsid w:val="00892029"/>
    <w:rsid w:val="008A1B88"/>
    <w:rsid w:val="008A5E31"/>
    <w:rsid w:val="008A71CC"/>
    <w:rsid w:val="008B0D5B"/>
    <w:rsid w:val="008B2A05"/>
    <w:rsid w:val="008B7169"/>
    <w:rsid w:val="008C3A8B"/>
    <w:rsid w:val="008C71BC"/>
    <w:rsid w:val="008C783C"/>
    <w:rsid w:val="008D1119"/>
    <w:rsid w:val="008D4A34"/>
    <w:rsid w:val="008E1672"/>
    <w:rsid w:val="008E26B4"/>
    <w:rsid w:val="008E71FB"/>
    <w:rsid w:val="008E7312"/>
    <w:rsid w:val="008F0511"/>
    <w:rsid w:val="008F0FF8"/>
    <w:rsid w:val="008F248E"/>
    <w:rsid w:val="008F4458"/>
    <w:rsid w:val="008F6733"/>
    <w:rsid w:val="009019E7"/>
    <w:rsid w:val="00902305"/>
    <w:rsid w:val="00902E43"/>
    <w:rsid w:val="00904BD3"/>
    <w:rsid w:val="00911813"/>
    <w:rsid w:val="00913D93"/>
    <w:rsid w:val="00914AC0"/>
    <w:rsid w:val="00917CF6"/>
    <w:rsid w:val="00917D99"/>
    <w:rsid w:val="009214B5"/>
    <w:rsid w:val="00922621"/>
    <w:rsid w:val="00925C16"/>
    <w:rsid w:val="00926A5D"/>
    <w:rsid w:val="009275B9"/>
    <w:rsid w:val="00927DB4"/>
    <w:rsid w:val="00932828"/>
    <w:rsid w:val="00932F0D"/>
    <w:rsid w:val="00942A9F"/>
    <w:rsid w:val="00942C57"/>
    <w:rsid w:val="009456BD"/>
    <w:rsid w:val="009467D5"/>
    <w:rsid w:val="00953AB8"/>
    <w:rsid w:val="00955069"/>
    <w:rsid w:val="00955DDB"/>
    <w:rsid w:val="00956452"/>
    <w:rsid w:val="00961266"/>
    <w:rsid w:val="009612AB"/>
    <w:rsid w:val="00961BD8"/>
    <w:rsid w:val="00962093"/>
    <w:rsid w:val="00963DB0"/>
    <w:rsid w:val="00964C44"/>
    <w:rsid w:val="009661F1"/>
    <w:rsid w:val="00967498"/>
    <w:rsid w:val="00967729"/>
    <w:rsid w:val="009700E1"/>
    <w:rsid w:val="00971DCF"/>
    <w:rsid w:val="009721EF"/>
    <w:rsid w:val="0097493B"/>
    <w:rsid w:val="00974AB4"/>
    <w:rsid w:val="00975186"/>
    <w:rsid w:val="0097577C"/>
    <w:rsid w:val="009766AB"/>
    <w:rsid w:val="00976DDF"/>
    <w:rsid w:val="0097739A"/>
    <w:rsid w:val="00980FED"/>
    <w:rsid w:val="0098475D"/>
    <w:rsid w:val="00985A66"/>
    <w:rsid w:val="009923F3"/>
    <w:rsid w:val="009931CA"/>
    <w:rsid w:val="009A096E"/>
    <w:rsid w:val="009A17B4"/>
    <w:rsid w:val="009A241F"/>
    <w:rsid w:val="009B025F"/>
    <w:rsid w:val="009B13F6"/>
    <w:rsid w:val="009B29C0"/>
    <w:rsid w:val="009B6618"/>
    <w:rsid w:val="009C2F31"/>
    <w:rsid w:val="009C504B"/>
    <w:rsid w:val="009D0875"/>
    <w:rsid w:val="009D38AF"/>
    <w:rsid w:val="009D6D80"/>
    <w:rsid w:val="009E1120"/>
    <w:rsid w:val="009E1D2C"/>
    <w:rsid w:val="009E4626"/>
    <w:rsid w:val="009E49C0"/>
    <w:rsid w:val="009F2796"/>
    <w:rsid w:val="00A00BAB"/>
    <w:rsid w:val="00A01E82"/>
    <w:rsid w:val="00A033E6"/>
    <w:rsid w:val="00A03A90"/>
    <w:rsid w:val="00A117AE"/>
    <w:rsid w:val="00A26C04"/>
    <w:rsid w:val="00A3154A"/>
    <w:rsid w:val="00A3215E"/>
    <w:rsid w:val="00A33987"/>
    <w:rsid w:val="00A36E86"/>
    <w:rsid w:val="00A429A0"/>
    <w:rsid w:val="00A44316"/>
    <w:rsid w:val="00A452D4"/>
    <w:rsid w:val="00A45B78"/>
    <w:rsid w:val="00A50DEA"/>
    <w:rsid w:val="00A51D11"/>
    <w:rsid w:val="00A54A74"/>
    <w:rsid w:val="00A561FD"/>
    <w:rsid w:val="00A6304D"/>
    <w:rsid w:val="00A6727B"/>
    <w:rsid w:val="00A672AF"/>
    <w:rsid w:val="00A67B77"/>
    <w:rsid w:val="00A707FF"/>
    <w:rsid w:val="00A72441"/>
    <w:rsid w:val="00A77C77"/>
    <w:rsid w:val="00A8244D"/>
    <w:rsid w:val="00A83D4F"/>
    <w:rsid w:val="00A936A2"/>
    <w:rsid w:val="00A94341"/>
    <w:rsid w:val="00A94D53"/>
    <w:rsid w:val="00AA279A"/>
    <w:rsid w:val="00AA3B51"/>
    <w:rsid w:val="00AA53A1"/>
    <w:rsid w:val="00AA69DA"/>
    <w:rsid w:val="00AB1E35"/>
    <w:rsid w:val="00AB4550"/>
    <w:rsid w:val="00AB4712"/>
    <w:rsid w:val="00AC1CDB"/>
    <w:rsid w:val="00AC4C0D"/>
    <w:rsid w:val="00AC4DFA"/>
    <w:rsid w:val="00AD23BF"/>
    <w:rsid w:val="00AD3E81"/>
    <w:rsid w:val="00AE0393"/>
    <w:rsid w:val="00AE1E5C"/>
    <w:rsid w:val="00AE2CEE"/>
    <w:rsid w:val="00AE406B"/>
    <w:rsid w:val="00AE7D52"/>
    <w:rsid w:val="00AF0B73"/>
    <w:rsid w:val="00AF5E1D"/>
    <w:rsid w:val="00AF6E95"/>
    <w:rsid w:val="00B0003D"/>
    <w:rsid w:val="00B0074B"/>
    <w:rsid w:val="00B01E7F"/>
    <w:rsid w:val="00B10183"/>
    <w:rsid w:val="00B10EFB"/>
    <w:rsid w:val="00B244A7"/>
    <w:rsid w:val="00B27D56"/>
    <w:rsid w:val="00B328AF"/>
    <w:rsid w:val="00B32E73"/>
    <w:rsid w:val="00B33FAC"/>
    <w:rsid w:val="00B44478"/>
    <w:rsid w:val="00B47417"/>
    <w:rsid w:val="00B47A10"/>
    <w:rsid w:val="00B64FAB"/>
    <w:rsid w:val="00B66910"/>
    <w:rsid w:val="00B67A46"/>
    <w:rsid w:val="00B74838"/>
    <w:rsid w:val="00B77528"/>
    <w:rsid w:val="00B81113"/>
    <w:rsid w:val="00B81144"/>
    <w:rsid w:val="00B8194E"/>
    <w:rsid w:val="00B81AC6"/>
    <w:rsid w:val="00B84575"/>
    <w:rsid w:val="00B857FA"/>
    <w:rsid w:val="00B85A06"/>
    <w:rsid w:val="00B86A31"/>
    <w:rsid w:val="00B90067"/>
    <w:rsid w:val="00BA2DF6"/>
    <w:rsid w:val="00BA3EE8"/>
    <w:rsid w:val="00BA523B"/>
    <w:rsid w:val="00BB2833"/>
    <w:rsid w:val="00BB388B"/>
    <w:rsid w:val="00BB4107"/>
    <w:rsid w:val="00BB68F5"/>
    <w:rsid w:val="00BC5649"/>
    <w:rsid w:val="00BC5796"/>
    <w:rsid w:val="00BC603C"/>
    <w:rsid w:val="00BC6692"/>
    <w:rsid w:val="00BC6CB6"/>
    <w:rsid w:val="00BD1F36"/>
    <w:rsid w:val="00BD3BEE"/>
    <w:rsid w:val="00BD467F"/>
    <w:rsid w:val="00BD4840"/>
    <w:rsid w:val="00BD519E"/>
    <w:rsid w:val="00BD58DE"/>
    <w:rsid w:val="00BD64D2"/>
    <w:rsid w:val="00BD6A72"/>
    <w:rsid w:val="00BD6D48"/>
    <w:rsid w:val="00BD730E"/>
    <w:rsid w:val="00BE49EB"/>
    <w:rsid w:val="00BE60B9"/>
    <w:rsid w:val="00BE6A72"/>
    <w:rsid w:val="00BF3BEF"/>
    <w:rsid w:val="00BF42EA"/>
    <w:rsid w:val="00BF6A95"/>
    <w:rsid w:val="00C01C29"/>
    <w:rsid w:val="00C03D5C"/>
    <w:rsid w:val="00C04743"/>
    <w:rsid w:val="00C07901"/>
    <w:rsid w:val="00C07E2E"/>
    <w:rsid w:val="00C10136"/>
    <w:rsid w:val="00C12494"/>
    <w:rsid w:val="00C2324B"/>
    <w:rsid w:val="00C23DCD"/>
    <w:rsid w:val="00C25236"/>
    <w:rsid w:val="00C31831"/>
    <w:rsid w:val="00C54BF3"/>
    <w:rsid w:val="00C60E7C"/>
    <w:rsid w:val="00C63CE1"/>
    <w:rsid w:val="00C64086"/>
    <w:rsid w:val="00C65562"/>
    <w:rsid w:val="00C67201"/>
    <w:rsid w:val="00C67893"/>
    <w:rsid w:val="00C70220"/>
    <w:rsid w:val="00C707DC"/>
    <w:rsid w:val="00C7693C"/>
    <w:rsid w:val="00C80FE9"/>
    <w:rsid w:val="00C82BE8"/>
    <w:rsid w:val="00C83F96"/>
    <w:rsid w:val="00C85934"/>
    <w:rsid w:val="00C86ADD"/>
    <w:rsid w:val="00C92425"/>
    <w:rsid w:val="00C927B0"/>
    <w:rsid w:val="00C96E9B"/>
    <w:rsid w:val="00CA264B"/>
    <w:rsid w:val="00CA3C26"/>
    <w:rsid w:val="00CA3FEA"/>
    <w:rsid w:val="00CA71D9"/>
    <w:rsid w:val="00CB3D28"/>
    <w:rsid w:val="00CB41F7"/>
    <w:rsid w:val="00CC3884"/>
    <w:rsid w:val="00CC6191"/>
    <w:rsid w:val="00CC7926"/>
    <w:rsid w:val="00CD1215"/>
    <w:rsid w:val="00CD1B73"/>
    <w:rsid w:val="00CD3185"/>
    <w:rsid w:val="00CD3D83"/>
    <w:rsid w:val="00CE1B02"/>
    <w:rsid w:val="00CE239E"/>
    <w:rsid w:val="00CE2FF7"/>
    <w:rsid w:val="00CE301C"/>
    <w:rsid w:val="00CE5481"/>
    <w:rsid w:val="00CE724B"/>
    <w:rsid w:val="00CF197E"/>
    <w:rsid w:val="00CF433E"/>
    <w:rsid w:val="00D0176E"/>
    <w:rsid w:val="00D02F43"/>
    <w:rsid w:val="00D03512"/>
    <w:rsid w:val="00D0370D"/>
    <w:rsid w:val="00D03F01"/>
    <w:rsid w:val="00D04699"/>
    <w:rsid w:val="00D135D8"/>
    <w:rsid w:val="00D1729C"/>
    <w:rsid w:val="00D17395"/>
    <w:rsid w:val="00D2429D"/>
    <w:rsid w:val="00D25190"/>
    <w:rsid w:val="00D2603E"/>
    <w:rsid w:val="00D26DC2"/>
    <w:rsid w:val="00D274FD"/>
    <w:rsid w:val="00D30636"/>
    <w:rsid w:val="00D30B7D"/>
    <w:rsid w:val="00D33E87"/>
    <w:rsid w:val="00D33FF6"/>
    <w:rsid w:val="00D35F7C"/>
    <w:rsid w:val="00D378BF"/>
    <w:rsid w:val="00D37C90"/>
    <w:rsid w:val="00D476B7"/>
    <w:rsid w:val="00D50370"/>
    <w:rsid w:val="00D5250E"/>
    <w:rsid w:val="00D52AE3"/>
    <w:rsid w:val="00D535E5"/>
    <w:rsid w:val="00D55323"/>
    <w:rsid w:val="00D57951"/>
    <w:rsid w:val="00D60A5E"/>
    <w:rsid w:val="00D62EC6"/>
    <w:rsid w:val="00D6670C"/>
    <w:rsid w:val="00D7041A"/>
    <w:rsid w:val="00D824B3"/>
    <w:rsid w:val="00D82E35"/>
    <w:rsid w:val="00D849E2"/>
    <w:rsid w:val="00D85C3C"/>
    <w:rsid w:val="00D9035F"/>
    <w:rsid w:val="00D918A0"/>
    <w:rsid w:val="00D934DD"/>
    <w:rsid w:val="00D94D3C"/>
    <w:rsid w:val="00DA0AF8"/>
    <w:rsid w:val="00DA2CD3"/>
    <w:rsid w:val="00DA5B8E"/>
    <w:rsid w:val="00DA66A3"/>
    <w:rsid w:val="00DA6E08"/>
    <w:rsid w:val="00DB081D"/>
    <w:rsid w:val="00DB0947"/>
    <w:rsid w:val="00DB3F60"/>
    <w:rsid w:val="00DB534B"/>
    <w:rsid w:val="00DC2A6E"/>
    <w:rsid w:val="00DC74E4"/>
    <w:rsid w:val="00DD1602"/>
    <w:rsid w:val="00DD2002"/>
    <w:rsid w:val="00DD486A"/>
    <w:rsid w:val="00DE2BE2"/>
    <w:rsid w:val="00DE6015"/>
    <w:rsid w:val="00DF322B"/>
    <w:rsid w:val="00DF3775"/>
    <w:rsid w:val="00DF63ED"/>
    <w:rsid w:val="00DF6753"/>
    <w:rsid w:val="00E03850"/>
    <w:rsid w:val="00E05E9E"/>
    <w:rsid w:val="00E1296C"/>
    <w:rsid w:val="00E137AE"/>
    <w:rsid w:val="00E20602"/>
    <w:rsid w:val="00E20AD2"/>
    <w:rsid w:val="00E21359"/>
    <w:rsid w:val="00E269DD"/>
    <w:rsid w:val="00E279DF"/>
    <w:rsid w:val="00E31ABE"/>
    <w:rsid w:val="00E34FEB"/>
    <w:rsid w:val="00E365F3"/>
    <w:rsid w:val="00E43A44"/>
    <w:rsid w:val="00E43AF0"/>
    <w:rsid w:val="00E43D63"/>
    <w:rsid w:val="00E44733"/>
    <w:rsid w:val="00E44D49"/>
    <w:rsid w:val="00E501A5"/>
    <w:rsid w:val="00E533AE"/>
    <w:rsid w:val="00E53445"/>
    <w:rsid w:val="00E53669"/>
    <w:rsid w:val="00E53D53"/>
    <w:rsid w:val="00E6148E"/>
    <w:rsid w:val="00E61B70"/>
    <w:rsid w:val="00E62006"/>
    <w:rsid w:val="00E62DCD"/>
    <w:rsid w:val="00E66181"/>
    <w:rsid w:val="00E802A2"/>
    <w:rsid w:val="00E80C31"/>
    <w:rsid w:val="00E83C83"/>
    <w:rsid w:val="00E9344D"/>
    <w:rsid w:val="00E9796D"/>
    <w:rsid w:val="00EA1767"/>
    <w:rsid w:val="00EA66C4"/>
    <w:rsid w:val="00EA67A7"/>
    <w:rsid w:val="00EB1FC3"/>
    <w:rsid w:val="00EB7ED7"/>
    <w:rsid w:val="00EC09E5"/>
    <w:rsid w:val="00EC1A2F"/>
    <w:rsid w:val="00EC419C"/>
    <w:rsid w:val="00EC5F09"/>
    <w:rsid w:val="00EC727F"/>
    <w:rsid w:val="00ED5804"/>
    <w:rsid w:val="00ED7FF3"/>
    <w:rsid w:val="00EE16B9"/>
    <w:rsid w:val="00EE2354"/>
    <w:rsid w:val="00EE292D"/>
    <w:rsid w:val="00EE5421"/>
    <w:rsid w:val="00EE5982"/>
    <w:rsid w:val="00EF009F"/>
    <w:rsid w:val="00EF180D"/>
    <w:rsid w:val="00EF5610"/>
    <w:rsid w:val="00F0229F"/>
    <w:rsid w:val="00F067DF"/>
    <w:rsid w:val="00F100E0"/>
    <w:rsid w:val="00F11D6A"/>
    <w:rsid w:val="00F1481B"/>
    <w:rsid w:val="00F15D04"/>
    <w:rsid w:val="00F2219B"/>
    <w:rsid w:val="00F23A76"/>
    <w:rsid w:val="00F2549B"/>
    <w:rsid w:val="00F25997"/>
    <w:rsid w:val="00F35B3F"/>
    <w:rsid w:val="00F36773"/>
    <w:rsid w:val="00F43E24"/>
    <w:rsid w:val="00F4464F"/>
    <w:rsid w:val="00F509FB"/>
    <w:rsid w:val="00F51101"/>
    <w:rsid w:val="00F514C4"/>
    <w:rsid w:val="00F51690"/>
    <w:rsid w:val="00F51FAB"/>
    <w:rsid w:val="00F55130"/>
    <w:rsid w:val="00F55EB5"/>
    <w:rsid w:val="00F603CD"/>
    <w:rsid w:val="00F64068"/>
    <w:rsid w:val="00F64792"/>
    <w:rsid w:val="00F651FB"/>
    <w:rsid w:val="00F65CFF"/>
    <w:rsid w:val="00F67D1C"/>
    <w:rsid w:val="00F71466"/>
    <w:rsid w:val="00F73A3F"/>
    <w:rsid w:val="00F73CAF"/>
    <w:rsid w:val="00F7504E"/>
    <w:rsid w:val="00F81FA4"/>
    <w:rsid w:val="00F83291"/>
    <w:rsid w:val="00F87863"/>
    <w:rsid w:val="00F927E0"/>
    <w:rsid w:val="00F95580"/>
    <w:rsid w:val="00F960A3"/>
    <w:rsid w:val="00FA040B"/>
    <w:rsid w:val="00FA30A5"/>
    <w:rsid w:val="00FA4829"/>
    <w:rsid w:val="00FA4E8F"/>
    <w:rsid w:val="00FA5D36"/>
    <w:rsid w:val="00FA7EE7"/>
    <w:rsid w:val="00FB4DCA"/>
    <w:rsid w:val="00FB798C"/>
    <w:rsid w:val="00FC6F02"/>
    <w:rsid w:val="00FC7FB9"/>
    <w:rsid w:val="00FD0F67"/>
    <w:rsid w:val="00FD6FD8"/>
    <w:rsid w:val="00FD7EAC"/>
    <w:rsid w:val="00FE1A12"/>
    <w:rsid w:val="00FE29B2"/>
    <w:rsid w:val="00FE2ECA"/>
    <w:rsid w:val="00FE5328"/>
    <w:rsid w:val="00FE5411"/>
    <w:rsid w:val="00FE5EDC"/>
    <w:rsid w:val="00FE7274"/>
    <w:rsid w:val="00FF3BEC"/>
    <w:rsid w:val="00FF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DC2A6E"/>
    <w:pPr>
      <w:spacing w:after="160" w:line="259" w:lineRule="auto"/>
    </w:pPr>
    <w:rPr>
      <w:rFonts w:cs="Corbe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458"/>
    <w:pPr>
      <w:keepNext/>
      <w:keepLines/>
      <w:spacing w:before="240" w:after="0"/>
      <w:outlineLvl w:val="0"/>
    </w:pPr>
    <w:rPr>
      <w:rFonts w:eastAsia="Times New Roman"/>
      <w:color w:val="7B881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1113"/>
    <w:pPr>
      <w:keepNext/>
      <w:keepLines/>
      <w:spacing w:before="40" w:after="0"/>
      <w:outlineLvl w:val="1"/>
    </w:pPr>
    <w:rPr>
      <w:rFonts w:eastAsia="Times New Roman"/>
      <w:color w:val="7B881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CAD"/>
    <w:pPr>
      <w:keepNext/>
      <w:keepLines/>
      <w:spacing w:before="40" w:after="0"/>
      <w:outlineLvl w:val="2"/>
    </w:pPr>
    <w:rPr>
      <w:rFonts w:eastAsia="Times New Roman"/>
      <w:color w:val="525A1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377EC"/>
    <w:pPr>
      <w:keepNext/>
      <w:keepLines/>
      <w:spacing w:before="40" w:after="0"/>
      <w:ind w:left="216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377EC"/>
    <w:pPr>
      <w:keepNext/>
      <w:keepLines/>
      <w:spacing w:before="40" w:after="0"/>
      <w:ind w:left="2880"/>
      <w:outlineLvl w:val="4"/>
    </w:pPr>
    <w:rPr>
      <w:rFonts w:ascii="Calibri Light" w:eastAsia="Times New Roman" w:hAnsi="Calibri Light" w:cs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377EC"/>
    <w:pPr>
      <w:keepNext/>
      <w:keepLines/>
      <w:spacing w:before="40" w:after="0"/>
      <w:ind w:left="3600"/>
      <w:outlineLvl w:val="5"/>
    </w:pPr>
    <w:rPr>
      <w:rFonts w:ascii="Calibri Light" w:eastAsia="Times New Roman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377EC"/>
    <w:pPr>
      <w:keepNext/>
      <w:keepLines/>
      <w:spacing w:before="40" w:after="0"/>
      <w:ind w:left="432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377EC"/>
    <w:pPr>
      <w:keepNext/>
      <w:keepLines/>
      <w:spacing w:before="40" w:after="0"/>
      <w:ind w:left="5040"/>
      <w:outlineLvl w:val="7"/>
    </w:pPr>
    <w:rPr>
      <w:rFonts w:ascii="Calibri Light" w:eastAsia="Times New Roman" w:hAnsi="Calibri Light" w:cs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377EC"/>
    <w:pPr>
      <w:keepNext/>
      <w:keepLines/>
      <w:spacing w:before="40" w:after="0"/>
      <w:ind w:left="576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458"/>
    <w:rPr>
      <w:rFonts w:ascii="Corbel" w:hAnsi="Corbel" w:cs="Corbel"/>
      <w:color w:val="7B881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1113"/>
    <w:rPr>
      <w:rFonts w:ascii="Corbel" w:hAnsi="Corbel" w:cs="Corbel"/>
      <w:color w:val="7B881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7CAD"/>
    <w:rPr>
      <w:rFonts w:ascii="Corbel" w:hAnsi="Corbel" w:cs="Corbel"/>
      <w:color w:val="525A1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377EC"/>
    <w:rPr>
      <w:rFonts w:ascii="Calibri Light" w:hAnsi="Calibri Light" w:cs="Calibri Light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377EC"/>
    <w:rPr>
      <w:rFonts w:ascii="Calibri Light" w:hAnsi="Calibri Light" w:cs="Calibri Light"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377EC"/>
    <w:rPr>
      <w:rFonts w:ascii="Calibri Light" w:hAnsi="Calibri Light" w:cs="Calibri Light"/>
      <w:color w:val="1F4D7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377EC"/>
    <w:rPr>
      <w:rFonts w:ascii="Calibri Light" w:hAnsi="Calibri Light" w:cs="Calibri Light"/>
      <w:i/>
      <w:iCs/>
      <w:color w:val="1F4D7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377EC"/>
    <w:rPr>
      <w:rFonts w:ascii="Calibri Light" w:hAnsi="Calibri Light" w:cs="Calibri Light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377EC"/>
    <w:rPr>
      <w:rFonts w:ascii="Calibri Light" w:hAnsi="Calibri Light" w:cs="Calibri Light"/>
      <w:i/>
      <w:iCs/>
      <w:color w:val="272727"/>
      <w:sz w:val="21"/>
      <w:szCs w:val="21"/>
    </w:rPr>
  </w:style>
  <w:style w:type="paragraph" w:styleId="NoSpacing">
    <w:name w:val="No Spacing"/>
    <w:link w:val="NoSpacingChar"/>
    <w:uiPriority w:val="99"/>
    <w:qFormat/>
    <w:rsid w:val="008F4458"/>
    <w:rPr>
      <w:rFonts w:eastAsia="Times New Roman" w:cs="Corbel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F4458"/>
    <w:rPr>
      <w:rFonts w:eastAsia="Times New Roman"/>
      <w:sz w:val="22"/>
      <w:szCs w:val="22"/>
      <w:lang w:val="pl-PL" w:eastAsia="pl-PL"/>
    </w:rPr>
  </w:style>
  <w:style w:type="paragraph" w:styleId="TOCHeading">
    <w:name w:val="TOC Heading"/>
    <w:basedOn w:val="Heading1"/>
    <w:next w:val="Normal"/>
    <w:uiPriority w:val="99"/>
    <w:qFormat/>
    <w:rsid w:val="008F4458"/>
    <w:pPr>
      <w:outlineLvl w:val="9"/>
    </w:pPr>
    <w:rPr>
      <w:lang w:eastAsia="pl-PL"/>
    </w:rPr>
  </w:style>
  <w:style w:type="paragraph" w:styleId="Header">
    <w:name w:val="header"/>
    <w:basedOn w:val="Normal"/>
    <w:link w:val="HeaderChar"/>
    <w:uiPriority w:val="99"/>
    <w:rsid w:val="008F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4458"/>
  </w:style>
  <w:style w:type="paragraph" w:styleId="Footer">
    <w:name w:val="footer"/>
    <w:basedOn w:val="Normal"/>
    <w:link w:val="FooterChar"/>
    <w:uiPriority w:val="99"/>
    <w:rsid w:val="008F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4458"/>
  </w:style>
  <w:style w:type="paragraph" w:styleId="TOC1">
    <w:name w:val="toc 1"/>
    <w:basedOn w:val="Normal"/>
    <w:next w:val="Normal"/>
    <w:autoRedefine/>
    <w:uiPriority w:val="99"/>
    <w:semiHidden/>
    <w:rsid w:val="00B81113"/>
    <w:pPr>
      <w:spacing w:after="100"/>
    </w:pPr>
  </w:style>
  <w:style w:type="character" w:styleId="Hyperlink">
    <w:name w:val="Hyperlink"/>
    <w:basedOn w:val="DefaultParagraphFont"/>
    <w:uiPriority w:val="99"/>
    <w:rsid w:val="00B81113"/>
    <w:rPr>
      <w:color w:val="auto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6D29F4"/>
    <w:pPr>
      <w:tabs>
        <w:tab w:val="left" w:pos="880"/>
        <w:tab w:val="right" w:leader="dot" w:pos="9062"/>
      </w:tabs>
      <w:spacing w:after="100"/>
      <w:ind w:left="220"/>
    </w:pPr>
  </w:style>
  <w:style w:type="paragraph" w:styleId="ListParagraph">
    <w:name w:val="List Paragraph"/>
    <w:aliases w:val="Numerowanie,Akapit z listą BS,L1,sw tekst"/>
    <w:basedOn w:val="Normal"/>
    <w:link w:val="ListParagraphChar"/>
    <w:uiPriority w:val="99"/>
    <w:qFormat/>
    <w:rsid w:val="00E533AE"/>
    <w:pPr>
      <w:ind w:left="720"/>
    </w:pPr>
  </w:style>
  <w:style w:type="character" w:customStyle="1" w:styleId="ListParagraphChar">
    <w:name w:val="List Paragraph Char"/>
    <w:aliases w:val="Numerowanie Char,Akapit z listą BS Char,L1 Char,sw tekst Char"/>
    <w:link w:val="ListParagraph"/>
    <w:uiPriority w:val="99"/>
    <w:locked/>
    <w:rsid w:val="00E533AE"/>
  </w:style>
  <w:style w:type="character" w:styleId="CommentReference">
    <w:name w:val="annotation reference"/>
    <w:basedOn w:val="DefaultParagraphFont"/>
    <w:uiPriority w:val="99"/>
    <w:semiHidden/>
    <w:rsid w:val="00437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7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7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7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77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3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77EC"/>
    <w:rPr>
      <w:rFonts w:ascii="Segoe UI" w:hAnsi="Segoe UI" w:cs="Segoe UI"/>
      <w:sz w:val="18"/>
      <w:szCs w:val="18"/>
    </w:rPr>
  </w:style>
  <w:style w:type="paragraph" w:customStyle="1" w:styleId="BodySingle">
    <w:name w:val="Body Single"/>
    <w:uiPriority w:val="99"/>
    <w:rsid w:val="004377EC"/>
    <w:pPr>
      <w:keepLines/>
      <w:spacing w:after="113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4377EC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uiPriority w:val="99"/>
    <w:rsid w:val="004377EC"/>
    <w:rPr>
      <w:rFonts w:ascii="Calibri" w:hAnsi="Calibri" w:cs="Calibri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4377EC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77E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Znak">
    <w:name w:val="Tekst podstawowy Znak"/>
    <w:basedOn w:val="DefaultParagraphFont"/>
    <w:uiPriority w:val="99"/>
    <w:semiHidden/>
    <w:rsid w:val="004377EC"/>
  </w:style>
  <w:style w:type="paragraph" w:customStyle="1" w:styleId="Normalny1">
    <w:name w:val="Normalny1"/>
    <w:uiPriority w:val="99"/>
    <w:rsid w:val="004377EC"/>
    <w:pPr>
      <w:suppressAutoHyphens/>
      <w:autoSpaceDE w:val="0"/>
    </w:pPr>
    <w:rPr>
      <w:rFonts w:cs="Corbel"/>
      <w:color w:val="000000"/>
      <w:sz w:val="24"/>
      <w:szCs w:val="24"/>
      <w:lang w:eastAsia="zh-CN"/>
    </w:rPr>
  </w:style>
  <w:style w:type="character" w:customStyle="1" w:styleId="SDnormalnyZnakZnak">
    <w:name w:val="SD_normalny Znak Znak"/>
    <w:link w:val="SDnormalny"/>
    <w:uiPriority w:val="99"/>
    <w:locked/>
    <w:rsid w:val="004377EC"/>
    <w:rPr>
      <w:rFonts w:ascii="Century Gothic" w:hAnsi="Century Gothic" w:cs="Century Gothic"/>
      <w:spacing w:val="2"/>
      <w:sz w:val="24"/>
      <w:szCs w:val="24"/>
      <w:lang w:eastAsia="pl-PL"/>
    </w:rPr>
  </w:style>
  <w:style w:type="paragraph" w:customStyle="1" w:styleId="SDnormalny">
    <w:name w:val="SD_normalny"/>
    <w:basedOn w:val="Normal"/>
    <w:link w:val="SDnormalnyZnakZnak"/>
    <w:uiPriority w:val="99"/>
    <w:rsid w:val="004377EC"/>
    <w:pPr>
      <w:spacing w:before="60" w:after="60" w:line="240" w:lineRule="auto"/>
      <w:jc w:val="both"/>
    </w:pPr>
    <w:rPr>
      <w:rFonts w:ascii="Century Gothic" w:hAnsi="Century Gothic" w:cs="Century Gothic"/>
      <w:spacing w:val="2"/>
      <w:sz w:val="24"/>
      <w:szCs w:val="24"/>
      <w:lang w:eastAsia="pl-PL"/>
    </w:rPr>
  </w:style>
  <w:style w:type="character" w:customStyle="1" w:styleId="SDnazwa">
    <w:name w:val="SD_nazwa"/>
    <w:uiPriority w:val="99"/>
    <w:rsid w:val="004377EC"/>
    <w:rPr>
      <w:rFonts w:ascii="Century Gothic" w:hAnsi="Century Gothic" w:cs="Century Gothic"/>
      <w:color w:val="808080"/>
      <w:spacing w:val="2"/>
      <w:sz w:val="20"/>
      <w:szCs w:val="20"/>
    </w:rPr>
  </w:style>
  <w:style w:type="paragraph" w:customStyle="1" w:styleId="TABELE">
    <w:name w:val="TABELE"/>
    <w:basedOn w:val="Normal"/>
    <w:link w:val="TABELEZnak"/>
    <w:uiPriority w:val="99"/>
    <w:rsid w:val="004377EC"/>
    <w:pPr>
      <w:spacing w:after="0" w:line="240" w:lineRule="auto"/>
    </w:pPr>
    <w:rPr>
      <w:rFonts w:ascii="Tw Cen MT" w:eastAsia="Times New Roman" w:hAnsi="Tw Cen MT" w:cs="Tw Cen MT"/>
      <w:sz w:val="16"/>
      <w:szCs w:val="16"/>
    </w:rPr>
  </w:style>
  <w:style w:type="character" w:customStyle="1" w:styleId="TABELEZnak">
    <w:name w:val="TABELE Znak"/>
    <w:basedOn w:val="DefaultParagraphFont"/>
    <w:link w:val="TABELE"/>
    <w:uiPriority w:val="99"/>
    <w:locked/>
    <w:rsid w:val="004377EC"/>
    <w:rPr>
      <w:rFonts w:ascii="Tw Cen MT" w:hAnsi="Tw Cen MT" w:cs="Tw Cen MT"/>
      <w:sz w:val="16"/>
      <w:szCs w:val="16"/>
    </w:rPr>
  </w:style>
  <w:style w:type="paragraph" w:customStyle="1" w:styleId="Default">
    <w:name w:val="Default"/>
    <w:uiPriority w:val="99"/>
    <w:rsid w:val="004377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4377EC"/>
    <w:pPr>
      <w:spacing w:after="0" w:line="240" w:lineRule="auto"/>
      <w:jc w:val="both"/>
    </w:pPr>
    <w:rPr>
      <w:rFonts w:eastAsia="Times New Roman"/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4377EC"/>
    <w:pPr>
      <w:spacing w:after="0" w:line="240" w:lineRule="auto"/>
      <w:jc w:val="both"/>
    </w:pPr>
    <w:rPr>
      <w:rFonts w:eastAsia="Times New Roman"/>
      <w:color w:val="262626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99"/>
    <w:locked/>
    <w:rsid w:val="004377EC"/>
    <w:rPr>
      <w:rFonts w:ascii="Corbel" w:hAnsi="Corbel" w:cs="Corbel"/>
      <w:color w:val="262626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377EC"/>
    <w:pPr>
      <w:numPr>
        <w:ilvl w:val="1"/>
      </w:numPr>
      <w:spacing w:after="240" w:line="240" w:lineRule="auto"/>
      <w:jc w:val="both"/>
    </w:pPr>
    <w:rPr>
      <w:rFonts w:eastAsia="Times New Roman"/>
      <w:caps/>
      <w:color w:val="404040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377EC"/>
    <w:rPr>
      <w:rFonts w:eastAsia="Times New Roman"/>
      <w:caps/>
      <w:color w:val="404040"/>
      <w:spacing w:val="20"/>
      <w:sz w:val="28"/>
      <w:szCs w:val="28"/>
    </w:rPr>
  </w:style>
  <w:style w:type="character" w:styleId="Strong">
    <w:name w:val="Strong"/>
    <w:aliases w:val="Tekst treści (3) + Times New Roman,12 pt,Odstępy 2 pt"/>
    <w:basedOn w:val="Teksttreci3"/>
    <w:uiPriority w:val="99"/>
    <w:qFormat/>
    <w:rsid w:val="00BF3BEF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lang w:val="pl-PL" w:eastAsia="pl-PL"/>
    </w:rPr>
  </w:style>
  <w:style w:type="character" w:styleId="Emphasis">
    <w:name w:val="Emphasis"/>
    <w:basedOn w:val="DefaultParagraphFont"/>
    <w:uiPriority w:val="99"/>
    <w:qFormat/>
    <w:rsid w:val="004377EC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99"/>
    <w:qFormat/>
    <w:rsid w:val="004377EC"/>
    <w:pPr>
      <w:spacing w:before="160" w:after="0" w:line="240" w:lineRule="auto"/>
      <w:ind w:left="720" w:right="720"/>
      <w:jc w:val="center"/>
    </w:pPr>
    <w:rPr>
      <w:rFonts w:eastAsia="Times New Roman"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4377EC"/>
    <w:rPr>
      <w:rFonts w:ascii="Corbel" w:hAnsi="Corbel" w:cs="Corbel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377EC"/>
    <w:pPr>
      <w:pBdr>
        <w:top w:val="single" w:sz="24" w:space="4" w:color="DF5327"/>
      </w:pBdr>
      <w:spacing w:before="240" w:after="240" w:line="240" w:lineRule="auto"/>
      <w:ind w:left="936" w:right="936"/>
      <w:jc w:val="center"/>
    </w:pPr>
    <w:rPr>
      <w:rFonts w:eastAsia="Times New Roman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377EC"/>
    <w:rPr>
      <w:rFonts w:ascii="Corbel" w:hAnsi="Corbel" w:cs="Corbel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4377EC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4377EC"/>
    <w:rPr>
      <w:b/>
      <w:bCs/>
      <w:i/>
      <w:iCs/>
      <w:color w:val="DF5327"/>
    </w:rPr>
  </w:style>
  <w:style w:type="character" w:styleId="SubtleReference">
    <w:name w:val="Subtle Reference"/>
    <w:basedOn w:val="DefaultParagraphFont"/>
    <w:uiPriority w:val="99"/>
    <w:qFormat/>
    <w:rsid w:val="004377EC"/>
    <w:rPr>
      <w:smallCaps/>
      <w:color w:val="404040"/>
      <w:spacing w:val="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377EC"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99"/>
    <w:qFormat/>
    <w:rsid w:val="004377EC"/>
    <w:rPr>
      <w:b/>
      <w:bCs/>
      <w:smallCaps/>
      <w:spacing w:val="0"/>
    </w:rPr>
  </w:style>
  <w:style w:type="table" w:customStyle="1" w:styleId="GridTable1LightAccent2">
    <w:name w:val="Grid Table 1 Light Accent 2"/>
    <w:uiPriority w:val="99"/>
    <w:rsid w:val="004377EC"/>
    <w:rPr>
      <w:rFonts w:eastAsia="Times New Roman" w:cs="Corbel"/>
      <w:sz w:val="21"/>
      <w:szCs w:val="21"/>
    </w:rPr>
    <w:tblPr>
      <w:tblStyleRowBandSize w:val="1"/>
      <w:tblStyleColBandSize w:val="1"/>
      <w:tblBorders>
        <w:top w:val="single" w:sz="4" w:space="0" w:color="F2B9A8"/>
        <w:left w:val="single" w:sz="4" w:space="0" w:color="F2B9A8"/>
        <w:bottom w:val="single" w:sz="4" w:space="0" w:color="F2B9A8"/>
        <w:right w:val="single" w:sz="4" w:space="0" w:color="F2B9A8"/>
        <w:insideH w:val="single" w:sz="4" w:space="0" w:color="F2B9A8"/>
        <w:insideV w:val="single" w:sz="4" w:space="0" w:color="F2B9A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377EC"/>
    <w:pPr>
      <w:spacing w:line="360" w:lineRule="auto"/>
    </w:pPr>
    <w:rPr>
      <w:rFonts w:cs="Corbel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9C2F31"/>
    <w:rPr>
      <w:color w:val="auto"/>
      <w:u w:val="single"/>
    </w:rPr>
  </w:style>
  <w:style w:type="paragraph" w:styleId="NormalWeb">
    <w:name w:val="Normal (Web)"/>
    <w:basedOn w:val="Normal"/>
    <w:uiPriority w:val="99"/>
    <w:rsid w:val="009C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0B1C15"/>
    <w:pPr>
      <w:widowControl w:val="0"/>
      <w:suppressAutoHyphens/>
      <w:autoSpaceDN w:val="0"/>
    </w:pPr>
    <w:rPr>
      <w:rFonts w:ascii="Times New Roman" w:eastAsia="SimSun" w:hAnsi="Times New Roman"/>
      <w:kern w:val="3"/>
      <w:sz w:val="24"/>
      <w:szCs w:val="24"/>
      <w:lang w:eastAsia="zh-CN"/>
    </w:rPr>
  </w:style>
  <w:style w:type="character" w:customStyle="1" w:styleId="WW8Num2z3">
    <w:name w:val="WW8Num2z3"/>
    <w:uiPriority w:val="99"/>
    <w:rsid w:val="007355E0"/>
  </w:style>
  <w:style w:type="character" w:customStyle="1" w:styleId="czeinternetowe">
    <w:name w:val="Łącze internetowe"/>
    <w:basedOn w:val="DefaultParagraphFont"/>
    <w:uiPriority w:val="99"/>
    <w:rsid w:val="00084BC8"/>
    <w:rPr>
      <w:color w:val="auto"/>
      <w:u w:val="single"/>
    </w:rPr>
  </w:style>
  <w:style w:type="character" w:styleId="FootnoteReference">
    <w:name w:val="footnote reference"/>
    <w:basedOn w:val="DefaultParagraphFont"/>
    <w:uiPriority w:val="99"/>
    <w:semiHidden/>
    <w:rsid w:val="00084BC8"/>
    <w:rPr>
      <w:vertAlign w:val="superscript"/>
    </w:rPr>
  </w:style>
  <w:style w:type="character" w:customStyle="1" w:styleId="Zakotwiczenieprzypisudolnego">
    <w:name w:val="Zakotwiczenie przypisu dolnego"/>
    <w:uiPriority w:val="99"/>
    <w:rsid w:val="00084BC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rsid w:val="003B0CA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B0CA4"/>
    <w:rPr>
      <w:rFonts w:ascii="Calibri" w:hAnsi="Calibri" w:cs="Calibri"/>
      <w:sz w:val="21"/>
      <w:szCs w:val="21"/>
    </w:rPr>
  </w:style>
  <w:style w:type="table" w:customStyle="1" w:styleId="TableGrid0">
    <w:name w:val="TableGrid"/>
    <w:uiPriority w:val="99"/>
    <w:rsid w:val="008F0FF8"/>
    <w:rPr>
      <w:rFonts w:eastAsia="Times New Roman" w:cs="Corbe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jedynczapozycja">
    <w:name w:val="pojedyncza_pozycja"/>
    <w:basedOn w:val="DefaultParagraphFont"/>
    <w:uiPriority w:val="99"/>
    <w:rsid w:val="00B81AC6"/>
  </w:style>
  <w:style w:type="paragraph" w:customStyle="1" w:styleId="footnotedescription">
    <w:name w:val="footnote description"/>
    <w:next w:val="Normal"/>
    <w:link w:val="footnotedescriptionChar"/>
    <w:hidden/>
    <w:uiPriority w:val="99"/>
    <w:rsid w:val="000352C4"/>
    <w:pPr>
      <w:spacing w:after="66" w:line="300" w:lineRule="auto"/>
      <w:ind w:left="262" w:right="108"/>
      <w:jc w:val="both"/>
    </w:pPr>
    <w:rPr>
      <w:rFonts w:ascii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0352C4"/>
    <w:rPr>
      <w:rFonts w:ascii="Calibri" w:hAnsi="Calibri" w:cs="Calibri"/>
      <w:color w:val="000000"/>
      <w:sz w:val="22"/>
      <w:szCs w:val="22"/>
      <w:lang w:eastAsia="pl-PL"/>
    </w:rPr>
  </w:style>
  <w:style w:type="character" w:customStyle="1" w:styleId="footnotemark">
    <w:name w:val="footnote mark"/>
    <w:hidden/>
    <w:uiPriority w:val="99"/>
    <w:rsid w:val="000352C4"/>
    <w:rPr>
      <w:rFonts w:ascii="Calibri" w:hAnsi="Calibri" w:cs="Calibri"/>
      <w:color w:val="000000"/>
      <w:sz w:val="20"/>
      <w:szCs w:val="2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45D3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45D3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45D3F"/>
    <w:rPr>
      <w:vertAlign w:val="superscript"/>
    </w:rPr>
  </w:style>
  <w:style w:type="paragraph" w:styleId="TOC3">
    <w:name w:val="toc 3"/>
    <w:basedOn w:val="Normal"/>
    <w:next w:val="Normal"/>
    <w:autoRedefine/>
    <w:uiPriority w:val="99"/>
    <w:semiHidden/>
    <w:rsid w:val="00045D3F"/>
    <w:pPr>
      <w:spacing w:after="100"/>
      <w:ind w:left="440"/>
    </w:pPr>
    <w:rPr>
      <w:rFonts w:eastAsia="Times New Roman"/>
      <w:lang w:eastAsia="pl-PL"/>
    </w:rPr>
  </w:style>
  <w:style w:type="paragraph" w:customStyle="1" w:styleId="Wytyczne">
    <w:name w:val="Wytyczne"/>
    <w:basedOn w:val="Normal"/>
    <w:link w:val="WytyczneZnak"/>
    <w:uiPriority w:val="99"/>
    <w:rsid w:val="00045D3F"/>
    <w:pPr>
      <w:numPr>
        <w:numId w:val="4"/>
      </w:numPr>
      <w:tabs>
        <w:tab w:val="left" w:pos="709"/>
      </w:tabs>
      <w:spacing w:after="0" w:line="276" w:lineRule="auto"/>
      <w:jc w:val="both"/>
    </w:pPr>
    <w:rPr>
      <w:rFonts w:ascii="Calibri" w:hAnsi="Calibri" w:cs="Calibri"/>
      <w:sz w:val="24"/>
      <w:szCs w:val="24"/>
      <w:lang w:eastAsia="pl-PL"/>
    </w:rPr>
  </w:style>
  <w:style w:type="paragraph" w:customStyle="1" w:styleId="Podwytyczne">
    <w:name w:val="Podwytyczne"/>
    <w:basedOn w:val="Wytyczne"/>
    <w:uiPriority w:val="99"/>
    <w:rsid w:val="00045D3F"/>
    <w:pPr>
      <w:numPr>
        <w:ilvl w:val="1"/>
      </w:numPr>
      <w:tabs>
        <w:tab w:val="num" w:pos="360"/>
      </w:tabs>
      <w:ind w:left="993" w:hanging="284"/>
    </w:pPr>
  </w:style>
  <w:style w:type="character" w:customStyle="1" w:styleId="WytyczneZnak">
    <w:name w:val="Wytyczne Znak"/>
    <w:link w:val="Wytyczne"/>
    <w:uiPriority w:val="99"/>
    <w:locked/>
    <w:rsid w:val="00045D3F"/>
    <w:rPr>
      <w:rFonts w:ascii="Calibri" w:hAnsi="Calibri" w:cs="Calibri"/>
      <w:sz w:val="24"/>
      <w:szCs w:val="24"/>
    </w:rPr>
  </w:style>
  <w:style w:type="character" w:customStyle="1" w:styleId="size">
    <w:name w:val="size"/>
    <w:basedOn w:val="DefaultParagraphFont"/>
    <w:uiPriority w:val="99"/>
    <w:rsid w:val="0011610E"/>
  </w:style>
  <w:style w:type="table" w:styleId="MediumShading1-Accent1">
    <w:name w:val="Medium Shading 1 Accent 1"/>
    <w:basedOn w:val="TableNormal"/>
    <w:uiPriority w:val="99"/>
    <w:rsid w:val="00FA4E8F"/>
    <w:rPr>
      <w:rFonts w:cs="Corbel"/>
      <w:sz w:val="20"/>
      <w:szCs w:val="20"/>
    </w:rPr>
    <w:tblPr>
      <w:tblStyleRowBandSize w:val="1"/>
      <w:tblStyleColBandSize w:val="1"/>
      <w:tblBorders>
        <w:top w:val="single" w:sz="8" w:space="0" w:color="C8D94C"/>
        <w:left w:val="single" w:sz="8" w:space="0" w:color="C8D94C"/>
        <w:bottom w:val="single" w:sz="8" w:space="0" w:color="C8D94C"/>
        <w:right w:val="single" w:sz="8" w:space="0" w:color="C8D94C"/>
        <w:insideH w:val="single" w:sz="8" w:space="0" w:color="C8D9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8D94C"/>
          <w:left w:val="single" w:sz="8" w:space="0" w:color="C8D94C"/>
          <w:bottom w:val="single" w:sz="8" w:space="0" w:color="C8D94C"/>
          <w:right w:val="single" w:sz="8" w:space="0" w:color="C8D94C"/>
          <w:insideH w:val="nil"/>
          <w:insideV w:val="nil"/>
        </w:tcBorders>
        <w:shd w:val="clear" w:color="auto" w:fill="A6B727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8D94C"/>
          <w:left w:val="single" w:sz="8" w:space="0" w:color="C8D94C"/>
          <w:bottom w:val="single" w:sz="8" w:space="0" w:color="C8D94C"/>
          <w:right w:val="single" w:sz="8" w:space="0" w:color="C8D9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rsid w:val="00D82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824B3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HTML-wstpniesformatowanyZnak">
    <w:name w:val="HTML - wstępnie sformatowany Znak"/>
    <w:basedOn w:val="DefaultParagraphFont"/>
    <w:uiPriority w:val="99"/>
    <w:semiHidden/>
    <w:rsid w:val="00D824B3"/>
    <w:rPr>
      <w:rFonts w:ascii="Consolas" w:hAnsi="Consolas" w:cs="Consolas"/>
      <w:sz w:val="20"/>
      <w:szCs w:val="20"/>
    </w:rPr>
  </w:style>
  <w:style w:type="character" w:customStyle="1" w:styleId="BulletSymbols">
    <w:name w:val="Bullet Symbols"/>
    <w:uiPriority w:val="99"/>
    <w:rsid w:val="002F6257"/>
    <w:rPr>
      <w:rFonts w:ascii="OpenSymbol" w:hAnsi="OpenSymbol" w:cs="OpenSymbol"/>
    </w:rPr>
  </w:style>
  <w:style w:type="character" w:customStyle="1" w:styleId="Teksttreci2">
    <w:name w:val="Tekst treści (2)_"/>
    <w:basedOn w:val="DefaultParagraphFont"/>
    <w:uiPriority w:val="99"/>
    <w:rsid w:val="00B8194E"/>
    <w:rPr>
      <w:rFonts w:ascii="Lucida Sans Unicode" w:hAnsi="Lucida Sans Unicode" w:cs="Lucida Sans Unicode"/>
      <w:sz w:val="18"/>
      <w:szCs w:val="18"/>
      <w:u w:val="none"/>
    </w:rPr>
  </w:style>
  <w:style w:type="character" w:customStyle="1" w:styleId="Teksttreci20">
    <w:name w:val="Tekst treści (2)"/>
    <w:basedOn w:val="Teksttreci2"/>
    <w:uiPriority w:val="99"/>
    <w:rsid w:val="00B8194E"/>
    <w:rPr>
      <w:color w:val="000000"/>
      <w:spacing w:val="0"/>
      <w:w w:val="100"/>
      <w:position w:val="0"/>
      <w:lang w:val="pl-PL" w:eastAsia="pl-PL"/>
    </w:rPr>
  </w:style>
  <w:style w:type="paragraph" w:customStyle="1" w:styleId="ListParagraph1">
    <w:name w:val="List Paragraph1"/>
    <w:aliases w:val="Numerowanie1,Akapit z listą BS1"/>
    <w:basedOn w:val="Standard"/>
    <w:uiPriority w:val="99"/>
    <w:rsid w:val="0039100D"/>
    <w:pPr>
      <w:widowControl/>
      <w:spacing w:after="200" w:line="276" w:lineRule="auto"/>
      <w:ind w:left="720"/>
    </w:pPr>
    <w:rPr>
      <w:rFonts w:ascii="Calibri" w:eastAsia="Corbel" w:hAnsi="Calibri" w:cs="Calibri"/>
      <w:sz w:val="22"/>
      <w:szCs w:val="22"/>
      <w:lang w:eastAsia="en-US"/>
    </w:rPr>
  </w:style>
  <w:style w:type="character" w:customStyle="1" w:styleId="Nagwek1">
    <w:name w:val="Nagłówek #1_"/>
    <w:basedOn w:val="DefaultParagraphFont"/>
    <w:uiPriority w:val="99"/>
    <w:rsid w:val="00BF3BEF"/>
    <w:rPr>
      <w:rFonts w:ascii="Calibri" w:hAnsi="Calibri" w:cs="Calibri"/>
      <w:b/>
      <w:bCs/>
      <w:sz w:val="22"/>
      <w:szCs w:val="22"/>
      <w:u w:val="none"/>
    </w:rPr>
  </w:style>
  <w:style w:type="character" w:customStyle="1" w:styleId="Nagwek10">
    <w:name w:val="Nagłówek #1"/>
    <w:basedOn w:val="Nagwek1"/>
    <w:uiPriority w:val="99"/>
    <w:rsid w:val="00BF3BEF"/>
    <w:rPr>
      <w:color w:val="000000"/>
      <w:spacing w:val="0"/>
      <w:w w:val="100"/>
      <w:position w:val="0"/>
      <w:lang w:val="pl-PL" w:eastAsia="pl-PL"/>
    </w:rPr>
  </w:style>
  <w:style w:type="character" w:customStyle="1" w:styleId="Teksttreci3">
    <w:name w:val="Tekst treści (3)_"/>
    <w:basedOn w:val="DefaultParagraphFont"/>
    <w:uiPriority w:val="99"/>
    <w:rsid w:val="00BF3BEF"/>
    <w:rPr>
      <w:rFonts w:ascii="Trebuchet MS" w:hAnsi="Trebuchet MS" w:cs="Trebuchet MS"/>
      <w:sz w:val="14"/>
      <w:szCs w:val="14"/>
      <w:u w:val="none"/>
    </w:rPr>
  </w:style>
  <w:style w:type="character" w:customStyle="1" w:styleId="Teksttreci30">
    <w:name w:val="Tekst treści (3)"/>
    <w:basedOn w:val="Teksttreci3"/>
    <w:uiPriority w:val="99"/>
    <w:rsid w:val="00BF3BEF"/>
    <w:rPr>
      <w:color w:val="000000"/>
      <w:spacing w:val="0"/>
      <w:w w:val="100"/>
      <w:position w:val="0"/>
      <w:lang w:val="pl-PL" w:eastAsia="pl-PL"/>
    </w:rPr>
  </w:style>
  <w:style w:type="character" w:customStyle="1" w:styleId="Teksttreci3Calibri">
    <w:name w:val="Tekst treści (3) + Calibri"/>
    <w:aliases w:val="10 pt"/>
    <w:basedOn w:val="Teksttreci3"/>
    <w:uiPriority w:val="99"/>
    <w:rsid w:val="00BF3BEF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lang w:val="pl-PL" w:eastAsia="pl-PL"/>
    </w:rPr>
  </w:style>
  <w:style w:type="character" w:customStyle="1" w:styleId="Teksttreci2Kursywa">
    <w:name w:val="Tekst treści (2) + Kursywa"/>
    <w:basedOn w:val="Teksttreci2"/>
    <w:uiPriority w:val="99"/>
    <w:rsid w:val="00BF3BEF"/>
    <w:rPr>
      <w:rFonts w:ascii="Calibri" w:hAnsi="Calibri" w:cs="Calibri"/>
      <w:i/>
      <w:iCs/>
      <w:color w:val="000000"/>
      <w:spacing w:val="0"/>
      <w:w w:val="100"/>
      <w:position w:val="0"/>
      <w:sz w:val="20"/>
      <w:szCs w:val="20"/>
      <w:lang w:val="pl-PL" w:eastAsia="pl-PL"/>
    </w:rPr>
  </w:style>
  <w:style w:type="character" w:customStyle="1" w:styleId="Nagwek1TrebuchetMS">
    <w:name w:val="Nagłówek #1 + Trebuchet MS"/>
    <w:aliases w:val="15 pt,Kursywa"/>
    <w:basedOn w:val="Nagwek1"/>
    <w:uiPriority w:val="99"/>
    <w:rsid w:val="00BF3BEF"/>
    <w:rPr>
      <w:rFonts w:ascii="Trebuchet MS" w:hAnsi="Trebuchet MS" w:cs="Trebuchet MS"/>
      <w:i/>
      <w:iCs/>
      <w:color w:val="000000"/>
      <w:spacing w:val="0"/>
      <w:w w:val="100"/>
      <w:position w:val="0"/>
      <w:sz w:val="30"/>
      <w:szCs w:val="30"/>
      <w:lang w:val="pl-PL" w:eastAsia="pl-PL"/>
    </w:rPr>
  </w:style>
  <w:style w:type="character" w:customStyle="1" w:styleId="h1">
    <w:name w:val="h1"/>
    <w:basedOn w:val="DefaultParagraphFont"/>
    <w:uiPriority w:val="99"/>
    <w:rsid w:val="0023368F"/>
  </w:style>
  <w:style w:type="numbering" w:customStyle="1" w:styleId="WWNum7">
    <w:name w:val="WWNum7"/>
    <w:rsid w:val="00C85B4C"/>
    <w:pPr>
      <w:numPr>
        <w:numId w:val="23"/>
      </w:numPr>
    </w:pPr>
  </w:style>
  <w:style w:type="numbering" w:customStyle="1" w:styleId="WWNum4">
    <w:name w:val="WWNum4"/>
    <w:rsid w:val="00C85B4C"/>
    <w:pPr>
      <w:numPr>
        <w:numId w:val="31"/>
      </w:numPr>
    </w:pPr>
  </w:style>
  <w:style w:type="numbering" w:customStyle="1" w:styleId="WWNum6">
    <w:name w:val="WWNum6"/>
    <w:rsid w:val="00C85B4C"/>
    <w:pPr>
      <w:numPr>
        <w:numId w:val="32"/>
      </w:numPr>
    </w:pPr>
  </w:style>
  <w:style w:type="numbering" w:customStyle="1" w:styleId="WWNum3">
    <w:name w:val="WWNum3"/>
    <w:rsid w:val="00C85B4C"/>
    <w:pPr>
      <w:numPr>
        <w:numId w:val="33"/>
      </w:numPr>
    </w:pPr>
  </w:style>
  <w:style w:type="numbering" w:customStyle="1" w:styleId="WWNum9">
    <w:name w:val="WWNum9"/>
    <w:rsid w:val="00C85B4C"/>
    <w:pPr>
      <w:numPr>
        <w:numId w:val="34"/>
      </w:numPr>
    </w:pPr>
  </w:style>
  <w:style w:type="numbering" w:customStyle="1" w:styleId="WWNum5">
    <w:name w:val="WWNum5"/>
    <w:rsid w:val="00C85B4C"/>
    <w:pPr>
      <w:numPr>
        <w:numId w:val="35"/>
      </w:numPr>
    </w:pPr>
  </w:style>
  <w:style w:type="numbering" w:customStyle="1" w:styleId="SDwypunktowanie1">
    <w:name w:val="SD_wypunktowanie1"/>
    <w:rsid w:val="00C85B4C"/>
    <w:pPr>
      <w:numPr>
        <w:numId w:val="1"/>
      </w:numPr>
    </w:pPr>
  </w:style>
  <w:style w:type="numbering" w:customStyle="1" w:styleId="WWNum8">
    <w:name w:val="WWNum8"/>
    <w:rsid w:val="00C85B4C"/>
    <w:pPr>
      <w:numPr>
        <w:numId w:val="36"/>
      </w:numPr>
    </w:pPr>
  </w:style>
  <w:style w:type="numbering" w:customStyle="1" w:styleId="SDwypunktowanie3">
    <w:name w:val="SD_wypunktowanie3"/>
    <w:rsid w:val="00C85B4C"/>
    <w:pPr>
      <w:numPr>
        <w:numId w:val="3"/>
      </w:numPr>
    </w:pPr>
  </w:style>
  <w:style w:type="numbering" w:customStyle="1" w:styleId="SDwypunktowanie2">
    <w:name w:val="SD_wypunktowanie2"/>
    <w:rsid w:val="00C85B4C"/>
    <w:pPr>
      <w:numPr>
        <w:numId w:val="2"/>
      </w:numPr>
    </w:pPr>
  </w:style>
  <w:style w:type="numbering" w:customStyle="1" w:styleId="WWNum2">
    <w:name w:val="WWNum2"/>
    <w:rsid w:val="00C85B4C"/>
    <w:pPr>
      <w:numPr>
        <w:numId w:val="3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29</Pages>
  <Words>8234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20</cp:revision>
  <dcterms:created xsi:type="dcterms:W3CDTF">2018-03-04T19:26:00Z</dcterms:created>
  <dcterms:modified xsi:type="dcterms:W3CDTF">2019-01-18T10:38:00Z</dcterms:modified>
</cp:coreProperties>
</file>