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07EC" w14:textId="4FE1EA1F" w:rsidR="00563F68" w:rsidRDefault="001C5223" w:rsidP="001C5223">
      <w:pPr>
        <w:spacing w:before="0" w:after="0" w:line="276" w:lineRule="auto"/>
        <w:jc w:val="right"/>
        <w:rPr>
          <w:rFonts w:ascii="Times New Roman" w:hAnsi="Times New Roman"/>
          <w:i/>
          <w:iCs/>
          <w:sz w:val="22"/>
          <w:szCs w:val="22"/>
        </w:rPr>
      </w:pPr>
      <w:r w:rsidRPr="001C5223">
        <w:rPr>
          <w:rFonts w:ascii="Times New Roman" w:hAnsi="Times New Roman"/>
          <w:i/>
          <w:iCs/>
          <w:sz w:val="22"/>
          <w:szCs w:val="22"/>
        </w:rPr>
        <w:t>Załącznik nr 3 do zapytania ofertowego</w:t>
      </w:r>
    </w:p>
    <w:p w14:paraId="686A5AB3" w14:textId="77777777" w:rsidR="001C5223" w:rsidRDefault="001C5223" w:rsidP="001C5223">
      <w:pPr>
        <w:spacing w:before="0" w:after="0" w:line="276" w:lineRule="auto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69F6BCE6" w14:textId="77777777" w:rsidR="00E315B3" w:rsidRDefault="00E315B3" w:rsidP="001C5223">
      <w:pPr>
        <w:spacing w:before="0" w:after="0" w:line="276" w:lineRule="auto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16108A92" w14:textId="318C2F13" w:rsidR="001C5223" w:rsidRPr="00E315B3" w:rsidRDefault="001C5223" w:rsidP="00E315B3">
      <w:pPr>
        <w:spacing w:before="0" w:after="0" w:line="276" w:lineRule="auto"/>
        <w:jc w:val="center"/>
        <w:rPr>
          <w:rFonts w:ascii="Times New Roman" w:hAnsi="Times New Roman"/>
          <w:sz w:val="22"/>
          <w:szCs w:val="22"/>
        </w:rPr>
      </w:pPr>
      <w:r w:rsidRPr="00E315B3">
        <w:rPr>
          <w:rFonts w:ascii="Times New Roman" w:hAnsi="Times New Roman"/>
          <w:sz w:val="22"/>
          <w:szCs w:val="22"/>
        </w:rPr>
        <w:t>Opis przedmiotu zamówienia</w:t>
      </w:r>
    </w:p>
    <w:p w14:paraId="076D5EA3" w14:textId="77777777" w:rsidR="001C5223" w:rsidRDefault="001C5223" w:rsidP="001C5223">
      <w:pPr>
        <w:spacing w:before="0" w:after="0" w:line="276" w:lineRule="auto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22E045F5" w14:textId="77777777" w:rsidR="00E315B3" w:rsidRPr="001C5223" w:rsidRDefault="00E315B3" w:rsidP="001C5223">
      <w:pPr>
        <w:spacing w:before="0" w:after="0" w:line="276" w:lineRule="auto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0367C02E" w14:textId="0B8DE9C3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Agregat wykonany zgodnie z obowiązującymi normami i standardami:</w:t>
      </w:r>
    </w:p>
    <w:p w14:paraId="3E445737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2006/42/CE Bezpieczeństwo maszyn.</w:t>
      </w:r>
    </w:p>
    <w:p w14:paraId="5ED29CCA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Kompatybilność elektromagnetyczna 2014/30/UE.</w:t>
      </w:r>
    </w:p>
    <w:p w14:paraId="50D5D9FB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2014/35/UE sprzętu elektrycznego przewidzianego do stosowania w określonych granicach napięcia</w:t>
      </w:r>
    </w:p>
    <w:p w14:paraId="371861E7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2000/14/WE Poziom hałasu. Emisja hałasu na zewnątrz urządzenia. (ze zmianami wprowadzonymi przez 2005/88/WE)</w:t>
      </w:r>
    </w:p>
    <w:p w14:paraId="3D70AE17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Emisji zanieczyszczeń gazowych i pyłowych 97/68/WE. (ze zmianami wprowadzonymi przez 2012/46/EU)</w:t>
      </w:r>
    </w:p>
    <w:p w14:paraId="26D373A9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EN 12100, EN 13857, EN 60204</w:t>
      </w:r>
    </w:p>
    <w:p w14:paraId="1908E2EE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Agregat w wersji obudowanej, wyciszony. Stopień ochrony IP zgodnie z ISO 8528-13:2016</w:t>
      </w:r>
    </w:p>
    <w:p w14:paraId="04F67159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Pochodzący z bieżącej produkcji, posiadający znak CE oraz powinien być wyprodukowany na terytorium Unii Europejskiej. Data produkcji min. 2025r.</w:t>
      </w:r>
    </w:p>
    <w:p w14:paraId="7D670F3D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Producent musi posiadać ISO9001, 14001, 45001. </w:t>
      </w:r>
    </w:p>
    <w:p w14:paraId="75C081EE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Dostarczone urządzenie powinno być w całości wyprodukowane i przetestowane przez jednego producenta.</w:t>
      </w:r>
    </w:p>
    <w:p w14:paraId="75458184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Jakiekolwiek modyfikacje urządzenia ingerujące w jego konstrukcję nie są dopuszczane.</w:t>
      </w:r>
    </w:p>
    <w:p w14:paraId="0686A11D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Silnik i prądnica z bieżącej produkcji. </w:t>
      </w:r>
    </w:p>
    <w:p w14:paraId="75DF8842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Wymagana bardzo mocna konstrukcja, wzmacniana od wewnątrz, zabezpieczona przed odkształceniami</w:t>
      </w:r>
    </w:p>
    <w:p w14:paraId="1B7B4B0F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Wysoka jakość obudowy - obudowa z blachy stalowej ocynkowanej ogniowo, malowana wielowarstwowo</w:t>
      </w:r>
    </w:p>
    <w:p w14:paraId="63FB3452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Wymagane wykonanie obudowy z wykończeniem dla odporności na korozję minimum C4H zgodnie z EN ISO 12944. </w:t>
      </w:r>
    </w:p>
    <w:p w14:paraId="37131EA2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Wymagany jest centralny uchwyt załadunkowy (tzw. „ucho”) oraz specjalne wykonanie ramy agregatu z prowadzeniem na płozy załadunkowe</w:t>
      </w:r>
    </w:p>
    <w:p w14:paraId="738AF574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Mocne zawiasy ze stali, drzwi zamykane na klucz</w:t>
      </w:r>
    </w:p>
    <w:p w14:paraId="34F763B8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Zewnętrzny przycisk zatrzymania awaryjnego </w:t>
      </w:r>
    </w:p>
    <w:p w14:paraId="11B957FF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Amortyzatory drgań silnika i prądnicy typu HD</w:t>
      </w:r>
    </w:p>
    <w:p w14:paraId="0E71966D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Osłona elementów gorących oraz wirujących</w:t>
      </w:r>
    </w:p>
    <w:p w14:paraId="36A47D55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Projektowany agregat wymagany o wymiarach nie przekraczających (d x </w:t>
      </w:r>
      <w:proofErr w:type="spellStart"/>
      <w:r w:rsidRPr="001C5223">
        <w:rPr>
          <w:rFonts w:ascii="Times New Roman" w:hAnsi="Times New Roman"/>
          <w:sz w:val="22"/>
          <w:szCs w:val="22"/>
        </w:rPr>
        <w:t>sz</w:t>
      </w:r>
      <w:proofErr w:type="spellEnd"/>
      <w:r w:rsidRPr="001C5223">
        <w:rPr>
          <w:rFonts w:ascii="Times New Roman" w:hAnsi="Times New Roman"/>
          <w:sz w:val="22"/>
          <w:szCs w:val="22"/>
        </w:rPr>
        <w:t xml:space="preserve"> x w.) –  2300 x 1100 x 1500 [mm] oraz ciężarze własnym z płynami , bez paliwa do – 1300 kg</w:t>
      </w:r>
    </w:p>
    <w:p w14:paraId="5F690663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Wyciszenie o bardzo wysokiej skuteczności – wełna skalna o wysokim stopniu tłumienia, niepalna, atestowana</w:t>
      </w:r>
    </w:p>
    <w:p w14:paraId="5B26DC01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Dopuszczalny poziom ciśnienia akustycznego z 7m. nie więcej niż  – 66 </w:t>
      </w:r>
      <w:proofErr w:type="spellStart"/>
      <w:r w:rsidRPr="001C5223">
        <w:rPr>
          <w:rFonts w:ascii="Times New Roman" w:hAnsi="Times New Roman"/>
          <w:sz w:val="22"/>
          <w:szCs w:val="22"/>
        </w:rPr>
        <w:t>dBA</w:t>
      </w:r>
      <w:proofErr w:type="spellEnd"/>
    </w:p>
    <w:p w14:paraId="7CD2FC9C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Stalowy tłumik dźwięków instalowany wewnątrz obudowy, uchylana pokrywa na wylocie </w:t>
      </w:r>
    </w:p>
    <w:p w14:paraId="4531DC3D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Moc maksymalna agregatu nie mniej niż  – 66kVA  (52kW)</w:t>
      </w:r>
    </w:p>
    <w:p w14:paraId="24DAFBD6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Moc znamionowa agregatu  – 60kVA  (48kW)</w:t>
      </w:r>
    </w:p>
    <w:p w14:paraId="7FFBF4E4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cos fi – 0,8</w:t>
      </w:r>
    </w:p>
    <w:p w14:paraId="7FEEB8D9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Napięcie – 400/230 V</w:t>
      </w:r>
    </w:p>
    <w:p w14:paraId="04365DF0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Częstotliwość – 50Hz</w:t>
      </w:r>
    </w:p>
    <w:p w14:paraId="34BE7277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lastRenderedPageBreak/>
        <w:t>Wymagane jest zastosowanie silnika renomowanego europejskiego producenta aby zapewnić późniejszą bezproblemową obsługę serwisową oraz dostęp do części</w:t>
      </w:r>
    </w:p>
    <w:p w14:paraId="093A1481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Wymagany silnik diesla o pojemności minimum 3,1 litra</w:t>
      </w:r>
    </w:p>
    <w:p w14:paraId="1431411A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Silnik 4 cylindrowy </w:t>
      </w:r>
    </w:p>
    <w:p w14:paraId="409B4AAD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Moc maksymalna silnika min. 80 HP</w:t>
      </w:r>
    </w:p>
    <w:p w14:paraId="208CAC96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Emisja spalin min. Stage2</w:t>
      </w:r>
    </w:p>
    <w:p w14:paraId="4FC5B2E2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Wymagany jest zbiornik paliwa o pojemności zapewniającej minimum 10 godzin pracy pod obciążeniem 75% mocy znamionowej</w:t>
      </w:r>
    </w:p>
    <w:p w14:paraId="6E6C7160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Filtr powietrza suchy</w:t>
      </w:r>
    </w:p>
    <w:p w14:paraId="51465195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Silnik chłodzony olejem</w:t>
      </w:r>
    </w:p>
    <w:p w14:paraId="11B49594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Prędkość obrotowa – 1500 </w:t>
      </w:r>
      <w:proofErr w:type="spellStart"/>
      <w:r w:rsidRPr="001C5223">
        <w:rPr>
          <w:rFonts w:ascii="Times New Roman" w:hAnsi="Times New Roman"/>
          <w:sz w:val="22"/>
          <w:szCs w:val="22"/>
        </w:rPr>
        <w:t>r.p.m</w:t>
      </w:r>
      <w:proofErr w:type="spellEnd"/>
      <w:r w:rsidRPr="001C5223">
        <w:rPr>
          <w:rFonts w:ascii="Times New Roman" w:hAnsi="Times New Roman"/>
          <w:sz w:val="22"/>
          <w:szCs w:val="22"/>
        </w:rPr>
        <w:t>.</w:t>
      </w:r>
    </w:p>
    <w:p w14:paraId="57DAF713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Układ elektryczny 12V</w:t>
      </w:r>
    </w:p>
    <w:p w14:paraId="06458978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Akumulator rozruchowy</w:t>
      </w:r>
    </w:p>
    <w:p w14:paraId="34B773D9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Automatyczna ładowarka akumulatora </w:t>
      </w:r>
    </w:p>
    <w:p w14:paraId="7CE40898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Automatyczne podgrzewanie bloku silnika. Sterowanie podgrzewania kontrolowane przez panel sterowania agregatu. </w:t>
      </w:r>
    </w:p>
    <w:p w14:paraId="532ABB55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Wymagane jest zastosowanie prądnicy renomowanego europejskiego producenta żeby zapewnić wymaganą późniejszą bezproblemową obsługę serwisową oraz dostęp do części.</w:t>
      </w:r>
    </w:p>
    <w:p w14:paraId="29619F7F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wyprodukowana zgodnie z dyrektywami i standardami:  tj. CEI 2-3, IEC 34-1, EN 60034-1, VDE 0530, BS 4999-5000</w:t>
      </w:r>
    </w:p>
    <w:p w14:paraId="21308908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Wyposażona w automatyczną regulację napięcia. Tolerancja napięcia +/-1%</w:t>
      </w:r>
    </w:p>
    <w:p w14:paraId="5E05ACBB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Wymagane wykonanie, gdzie stojan prądnicy jest nawinięty z poskokiem 2/3 </w:t>
      </w:r>
    </w:p>
    <w:p w14:paraId="1AC05DF3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Prąd zwarciowy prądnicy 300% x In przez 20 sekund.  </w:t>
      </w:r>
    </w:p>
    <w:p w14:paraId="60E0E8D9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Wymagana klasa IP - 23</w:t>
      </w:r>
    </w:p>
    <w:p w14:paraId="2F51C82A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Klasa izolacji – H </w:t>
      </w:r>
    </w:p>
    <w:p w14:paraId="6F78CC58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Prądnica 4-polowa</w:t>
      </w:r>
    </w:p>
    <w:p w14:paraId="08444B0D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Złącze do szybkiego podłączenia układu SZR typu CONN</w:t>
      </w:r>
    </w:p>
    <w:p w14:paraId="3EFFE799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Gniazda odbioru mocy: 1 gniazdo 400V, 2 gniazda 230V</w:t>
      </w:r>
    </w:p>
    <w:p w14:paraId="7A64A30F" w14:textId="67DEE5C3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Panel sterowania agregatu obsługujący tryb pracy automatycznej a także tryby manualny, test </w:t>
      </w:r>
      <w:r w:rsidR="00E315B3">
        <w:rPr>
          <w:rFonts w:ascii="Times New Roman" w:hAnsi="Times New Roman"/>
          <w:sz w:val="22"/>
          <w:szCs w:val="22"/>
        </w:rPr>
        <w:t xml:space="preserve">                 </w:t>
      </w:r>
      <w:r w:rsidRPr="001C5223">
        <w:rPr>
          <w:rFonts w:ascii="Times New Roman" w:hAnsi="Times New Roman"/>
          <w:sz w:val="22"/>
          <w:szCs w:val="22"/>
        </w:rPr>
        <w:t>oraz off. Musi posiadać pełne menu w języku polskim z pełną obsługą rozwiązań producenta. Musi być wyposażony w dodatkową programowalną logikę PLC</w:t>
      </w:r>
    </w:p>
    <w:p w14:paraId="01D0656C" w14:textId="10E89063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Pozwalający na kontrolę parametrów sieci i agregatu (napięć , prądów, mocy , częstotliwości , </w:t>
      </w:r>
      <w:proofErr w:type="spellStart"/>
      <w:r w:rsidRPr="001C5223">
        <w:rPr>
          <w:rFonts w:ascii="Times New Roman" w:hAnsi="Times New Roman"/>
          <w:sz w:val="22"/>
          <w:szCs w:val="22"/>
        </w:rPr>
        <w:t>cosɸ</w:t>
      </w:r>
      <w:proofErr w:type="spellEnd"/>
      <w:r w:rsidRPr="001C5223">
        <w:rPr>
          <w:rFonts w:ascii="Times New Roman" w:hAnsi="Times New Roman"/>
          <w:sz w:val="22"/>
          <w:szCs w:val="22"/>
        </w:rPr>
        <w:t xml:space="preserve">, napięcia ładowania akumulatora , ilości paliwa w zbiorniku , czasu pracy agregatu , parametrów silnika). Panel sterownika wyposażony w ekran LCD oraz tabliczkę z diodami sygnalizacyjnymi dla łatwej obsługi i szybkiej identyfikacji stanów pracy urządzenia. </w:t>
      </w:r>
    </w:p>
    <w:p w14:paraId="32CF9429" w14:textId="3C0C4AE6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Wymagane jest aby panel sterowania wyposażony był w funkcję obsługi pracy układu SZR </w:t>
      </w:r>
      <w:r w:rsidR="00E315B3">
        <w:rPr>
          <w:rFonts w:ascii="Times New Roman" w:hAnsi="Times New Roman"/>
          <w:sz w:val="22"/>
          <w:szCs w:val="22"/>
        </w:rPr>
        <w:t xml:space="preserve">                      </w:t>
      </w:r>
      <w:r w:rsidRPr="001C5223">
        <w:rPr>
          <w:rFonts w:ascii="Times New Roman" w:hAnsi="Times New Roman"/>
          <w:sz w:val="22"/>
          <w:szCs w:val="22"/>
        </w:rPr>
        <w:t>oraz wskazywał stany pracy elementu wykonawczego SZR. Szafa elektryczna/automatyki agregatu zbudowana na podzespołach renomowanych producentów elektryki i elektroniki, według norm</w:t>
      </w:r>
      <w:r w:rsidR="00E315B3">
        <w:rPr>
          <w:rFonts w:ascii="Times New Roman" w:hAnsi="Times New Roman"/>
          <w:sz w:val="22"/>
          <w:szCs w:val="22"/>
        </w:rPr>
        <w:t xml:space="preserve">                          </w:t>
      </w:r>
      <w:r w:rsidRPr="001C5223">
        <w:rPr>
          <w:rFonts w:ascii="Times New Roman" w:hAnsi="Times New Roman"/>
          <w:sz w:val="22"/>
          <w:szCs w:val="22"/>
        </w:rPr>
        <w:t xml:space="preserve"> i standardów. Nastawy zabezpieczenia głównego zgodnie z parametrami agregatu. </w:t>
      </w:r>
    </w:p>
    <w:p w14:paraId="534D771E" w14:textId="19CF4341" w:rsidR="00563F68" w:rsidRPr="00E315B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Panel pozwalający na montaż modułów komunikacyjnych (RS485, LAN, </w:t>
      </w:r>
      <w:proofErr w:type="spellStart"/>
      <w:r w:rsidRPr="001C5223">
        <w:rPr>
          <w:rFonts w:ascii="Times New Roman" w:hAnsi="Times New Roman"/>
          <w:sz w:val="22"/>
          <w:szCs w:val="22"/>
        </w:rPr>
        <w:t>Mobus</w:t>
      </w:r>
      <w:proofErr w:type="spellEnd"/>
      <w:r w:rsidRPr="001C5223">
        <w:rPr>
          <w:rFonts w:ascii="Times New Roman" w:hAnsi="Times New Roman"/>
          <w:sz w:val="22"/>
          <w:szCs w:val="22"/>
        </w:rPr>
        <w:t xml:space="preserve">, TCP/IP, SNMP, </w:t>
      </w:r>
      <w:proofErr w:type="spellStart"/>
      <w:r w:rsidRPr="001C5223">
        <w:rPr>
          <w:rFonts w:ascii="Times New Roman" w:hAnsi="Times New Roman"/>
          <w:sz w:val="22"/>
          <w:szCs w:val="22"/>
        </w:rPr>
        <w:t>Profibus</w:t>
      </w:r>
      <w:proofErr w:type="spellEnd"/>
      <w:r w:rsidRPr="001C5223">
        <w:rPr>
          <w:rFonts w:ascii="Times New Roman" w:hAnsi="Times New Roman"/>
          <w:sz w:val="22"/>
          <w:szCs w:val="22"/>
        </w:rPr>
        <w:t>, GPRS)</w:t>
      </w:r>
    </w:p>
    <w:p w14:paraId="5DDFA7AB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Układ SZR wyprodukowany i przetestowany przez jednego producenta. Jakiekolwiek modyfikacje nie są dopuszczone. Musi być wyposażony w blokadę elektryczną i mechaniczną. Wymagany element wykonawczy układu to przełącznik z napędem silnikowym. Wyklucza się zastosowanie układów stycznikowych czy z przełącznikiem elektro-magnetycznym. W celu łatwej identyfikacji aktywnego źródła zasilania, SZR ma być wyposażony w lampki na drzwiczkach potwierdzające stany pracy – aktywność sieci, zasilanie z sieci, aktywność agregatu, zasilanie z agregatu.</w:t>
      </w:r>
    </w:p>
    <w:p w14:paraId="683028EE" w14:textId="77777777" w:rsidR="00563F68" w:rsidRPr="001C5223" w:rsidRDefault="00563F68" w:rsidP="001C5223">
      <w:pPr>
        <w:pStyle w:val="Akapitzlist"/>
        <w:numPr>
          <w:ilvl w:val="0"/>
          <w:numId w:val="2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Dostarczana przyczepa transportowa musi spełniać minimalnie parametry:</w:t>
      </w:r>
    </w:p>
    <w:p w14:paraId="1A9F1C30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lastRenderedPageBreak/>
        <w:t>przyczepa dwuosiowa z dyszlem prostym, zaczep kulowy</w:t>
      </w:r>
    </w:p>
    <w:p w14:paraId="65091C3A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 xml:space="preserve">osie KNOTT lub/ALCO, koła na zewnątrz ramy, </w:t>
      </w:r>
    </w:p>
    <w:p w14:paraId="298CBF27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homologacja – przyczepa transportowa</w:t>
      </w:r>
    </w:p>
    <w:p w14:paraId="178E0C18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wymiary platformy 2500 x 1200 mm </w:t>
      </w:r>
    </w:p>
    <w:p w14:paraId="3F72AECA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koła 185r14c-2szt</w:t>
      </w:r>
    </w:p>
    <w:p w14:paraId="2DA84C75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układ hamulcowy do 2700kg</w:t>
      </w:r>
    </w:p>
    <w:p w14:paraId="2C89EC83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zaczep kulowy </w:t>
      </w:r>
    </w:p>
    <w:p w14:paraId="4243266C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2 podpory rurowe z przodu </w:t>
      </w:r>
    </w:p>
    <w:p w14:paraId="2525C5FE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2 podpory kątowe z tyłu </w:t>
      </w:r>
    </w:p>
    <w:p w14:paraId="35296310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bez podłogi </w:t>
      </w:r>
    </w:p>
    <w:p w14:paraId="0FCA22B9" w14:textId="77777777" w:rsidR="00563F68" w:rsidRPr="001C5223" w:rsidRDefault="00563F68" w:rsidP="001C5223">
      <w:pPr>
        <w:pStyle w:val="Akapitzlist"/>
        <w:numPr>
          <w:ilvl w:val="1"/>
          <w:numId w:val="2"/>
        </w:numPr>
        <w:spacing w:before="0" w:after="0" w:line="276" w:lineRule="auto"/>
        <w:ind w:left="993" w:hanging="633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masa całkowita 1900-2000 kg </w:t>
      </w:r>
    </w:p>
    <w:p w14:paraId="58A2D8BD" w14:textId="47F5E6BD" w:rsidR="00563F68" w:rsidRPr="001C5223" w:rsidRDefault="00563F68" w:rsidP="00E315B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5223">
        <w:rPr>
          <w:rFonts w:ascii="Times New Roman" w:hAnsi="Times New Roman"/>
          <w:sz w:val="22"/>
          <w:szCs w:val="22"/>
        </w:rPr>
        <w:t>Oferent zapewni we własnym zakresie montaż agregatu na przyczepie oraz dostawę z</w:t>
      </w:r>
      <w:r w:rsidR="00E315B3">
        <w:rPr>
          <w:rFonts w:ascii="Times New Roman" w:hAnsi="Times New Roman"/>
          <w:sz w:val="22"/>
          <w:szCs w:val="22"/>
        </w:rPr>
        <w:t xml:space="preserve"> </w:t>
      </w:r>
      <w:r w:rsidRPr="001C5223">
        <w:rPr>
          <w:rFonts w:ascii="Times New Roman" w:hAnsi="Times New Roman"/>
          <w:sz w:val="22"/>
          <w:szCs w:val="22"/>
        </w:rPr>
        <w:t xml:space="preserve">rozładunkiem </w:t>
      </w:r>
      <w:r w:rsidR="00E315B3">
        <w:rPr>
          <w:rFonts w:ascii="Times New Roman" w:hAnsi="Times New Roman"/>
          <w:sz w:val="22"/>
          <w:szCs w:val="22"/>
        </w:rPr>
        <w:t>na terenie Gminy Reszel</w:t>
      </w:r>
      <w:r w:rsidRPr="001C5223">
        <w:rPr>
          <w:rFonts w:ascii="Times New Roman" w:hAnsi="Times New Roman"/>
          <w:sz w:val="22"/>
          <w:szCs w:val="22"/>
        </w:rPr>
        <w:t>.</w:t>
      </w:r>
    </w:p>
    <w:p w14:paraId="7A61BA13" w14:textId="5D466FBF" w:rsidR="00563F68" w:rsidRPr="001C5223" w:rsidRDefault="00563F68" w:rsidP="00E315B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Hlk210764182"/>
      <w:r w:rsidRPr="001C5223">
        <w:rPr>
          <w:rFonts w:ascii="Times New Roman" w:hAnsi="Times New Roman"/>
          <w:sz w:val="22"/>
          <w:szCs w:val="22"/>
        </w:rPr>
        <w:t>Zamawiający wymaga dołączenia karty katalogowej producenta. Jeżeli karta katalogowa</w:t>
      </w:r>
      <w:r w:rsidR="00E315B3">
        <w:rPr>
          <w:rFonts w:ascii="Times New Roman" w:hAnsi="Times New Roman"/>
          <w:sz w:val="22"/>
          <w:szCs w:val="22"/>
        </w:rPr>
        <w:t xml:space="preserve">                           </w:t>
      </w:r>
      <w:r w:rsidRPr="001C5223">
        <w:rPr>
          <w:rFonts w:ascii="Times New Roman" w:hAnsi="Times New Roman"/>
          <w:sz w:val="22"/>
          <w:szCs w:val="22"/>
        </w:rPr>
        <w:t xml:space="preserve"> nie potwierdza spełnienia wszystkich wymaganych parametrów, Zamawiający wymaga dostarczenia oświadczenia producenta lub wyłącznego dystrybutora oferowanego agregatu potwierdzającego spełnienie wszystkich minimalnych wymaganych parametrów zawartych </w:t>
      </w:r>
      <w:r w:rsidR="00E315B3">
        <w:rPr>
          <w:rFonts w:ascii="Times New Roman" w:hAnsi="Times New Roman"/>
          <w:sz w:val="22"/>
          <w:szCs w:val="22"/>
        </w:rPr>
        <w:t xml:space="preserve">                         </w:t>
      </w:r>
      <w:r w:rsidRPr="001C5223">
        <w:rPr>
          <w:rFonts w:ascii="Times New Roman" w:hAnsi="Times New Roman"/>
          <w:sz w:val="22"/>
          <w:szCs w:val="22"/>
        </w:rPr>
        <w:t>w OPZ.</w:t>
      </w:r>
      <w:bookmarkEnd w:id="0"/>
    </w:p>
    <w:p w14:paraId="6AC412A7" w14:textId="14033C9F" w:rsidR="004400A0" w:rsidRPr="00E315B3" w:rsidRDefault="00563F68" w:rsidP="004400A0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bookmarkStart w:id="1" w:name="_Hlk210764194"/>
      <w:r w:rsidRPr="001C5223">
        <w:rPr>
          <w:rFonts w:ascii="Times New Roman" w:hAnsi="Times New Roman"/>
          <w:sz w:val="22"/>
          <w:szCs w:val="22"/>
        </w:rPr>
        <w:t xml:space="preserve">Zamawiający wymaga dołączenia certyfikatu, ewentualnie oświadczenia producenta </w:t>
      </w:r>
      <w:r w:rsidR="00E315B3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Pr="001C5223">
        <w:rPr>
          <w:rFonts w:ascii="Times New Roman" w:hAnsi="Times New Roman"/>
          <w:sz w:val="22"/>
          <w:szCs w:val="22"/>
        </w:rPr>
        <w:t xml:space="preserve">lub wyłącznego dystrybutora, potwierdzającego, że oferent posiada status Autoryzowanego Partnera lub Dystrybutora, mającego wiedzę w zakresie doboru i sprzedaży agregatów prądotwórczych oferowanego producenta. </w:t>
      </w:r>
    </w:p>
    <w:bookmarkEnd w:id="1"/>
    <w:p w14:paraId="44C7A0AF" w14:textId="77777777" w:rsidR="00E315B3" w:rsidRPr="00E315B3" w:rsidRDefault="004400A0" w:rsidP="00E315B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Wymagania dotyczące gwarancji i serwisu:</w:t>
      </w:r>
      <w:r w:rsidR="00E315B3" w:rsidRPr="00E315B3">
        <w:rPr>
          <w:rFonts w:ascii="Times New Roman" w:hAnsi="Times New Roman"/>
          <w:sz w:val="22"/>
          <w:szCs w:val="22"/>
          <w:lang w:eastAsia="pl-PL"/>
        </w:rPr>
        <w:t xml:space="preserve"> </w:t>
      </w:r>
    </w:p>
    <w:p w14:paraId="19C4A990" w14:textId="66CF9658" w:rsidR="00E315B3" w:rsidRPr="00E315B3" w:rsidRDefault="004400A0" w:rsidP="00E315B3">
      <w:pPr>
        <w:pStyle w:val="Akapitzlist"/>
        <w:numPr>
          <w:ilvl w:val="1"/>
          <w:numId w:val="6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Okres gwarancji: minimum 24 miesiące na cały zestaw (agregat, silnik, prądnica, przyczepa).</w:t>
      </w:r>
    </w:p>
    <w:p w14:paraId="637514E3" w14:textId="77777777" w:rsidR="00E315B3" w:rsidRPr="00E315B3" w:rsidRDefault="004400A0" w:rsidP="00E315B3">
      <w:pPr>
        <w:pStyle w:val="Akapitzlist"/>
        <w:numPr>
          <w:ilvl w:val="1"/>
          <w:numId w:val="6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W okresie gwarancji wykonawca zapewnia bezpłatne przeglądy zgodnie</w:t>
      </w:r>
      <w:r w:rsidR="001C5223" w:rsidRPr="00E315B3">
        <w:rPr>
          <w:rFonts w:ascii="Times New Roman" w:hAnsi="Times New Roman"/>
          <w:sz w:val="22"/>
          <w:szCs w:val="22"/>
          <w:lang w:eastAsia="pl-PL"/>
        </w:rPr>
        <w:t xml:space="preserve"> </w:t>
      </w:r>
    </w:p>
    <w:p w14:paraId="34604B6E" w14:textId="0340AE8D" w:rsidR="00E315B3" w:rsidRPr="00E315B3" w:rsidRDefault="004400A0" w:rsidP="00E315B3">
      <w:pPr>
        <w:pStyle w:val="Akapitzlist"/>
        <w:numPr>
          <w:ilvl w:val="1"/>
          <w:numId w:val="6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z harmonogramem producenta.</w:t>
      </w:r>
    </w:p>
    <w:p w14:paraId="0A6A851D" w14:textId="77777777" w:rsidR="00E315B3" w:rsidRPr="00E315B3" w:rsidRDefault="004400A0" w:rsidP="00E315B3">
      <w:pPr>
        <w:pStyle w:val="Akapitzlist"/>
        <w:numPr>
          <w:ilvl w:val="1"/>
          <w:numId w:val="6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Autoryzowany serwis gwarancyjny i pogwarancyjny musi znajdować się na terenie Polski.</w:t>
      </w:r>
    </w:p>
    <w:p w14:paraId="272FD480" w14:textId="647DA4A0" w:rsidR="0095467A" w:rsidRPr="00E315B3" w:rsidRDefault="004400A0" w:rsidP="00E315B3">
      <w:pPr>
        <w:pStyle w:val="Akapitzlist"/>
        <w:numPr>
          <w:ilvl w:val="1"/>
          <w:numId w:val="6"/>
        </w:numPr>
        <w:spacing w:before="0" w:after="0" w:line="276" w:lineRule="auto"/>
        <w:ind w:left="357" w:firstLine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 xml:space="preserve">Wykonawca zapewnia dostarczenie części zamiennych i materiałów eksploatacyjnych </w:t>
      </w:r>
      <w:r w:rsidR="00E315B3">
        <w:rPr>
          <w:rFonts w:ascii="Times New Roman" w:hAnsi="Times New Roman"/>
          <w:sz w:val="22"/>
          <w:szCs w:val="22"/>
          <w:lang w:eastAsia="pl-PL"/>
        </w:rPr>
        <w:t xml:space="preserve">                      </w:t>
      </w:r>
      <w:r w:rsidRPr="00E315B3">
        <w:rPr>
          <w:rFonts w:ascii="Times New Roman" w:hAnsi="Times New Roman"/>
          <w:sz w:val="22"/>
          <w:szCs w:val="22"/>
          <w:lang w:eastAsia="pl-PL"/>
        </w:rPr>
        <w:t>przez minimum 5 lat od daty dostawy.</w:t>
      </w:r>
    </w:p>
    <w:p w14:paraId="527DD564" w14:textId="77777777" w:rsidR="00E315B3" w:rsidRPr="00E315B3" w:rsidRDefault="004400A0" w:rsidP="00E315B3">
      <w:pPr>
        <w:pStyle w:val="Akapitzlist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 xml:space="preserve">Wykonawca zobowiązany jest do: </w:t>
      </w:r>
    </w:p>
    <w:p w14:paraId="44908AE5" w14:textId="77777777" w:rsidR="00E315B3" w:rsidRPr="00E315B3" w:rsidRDefault="004400A0" w:rsidP="00E315B3">
      <w:pPr>
        <w:pStyle w:val="Akapitzlist"/>
        <w:numPr>
          <w:ilvl w:val="1"/>
          <w:numId w:val="8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 xml:space="preserve">dostarczenia urządzenia na terenie Gminy Reszel, </w:t>
      </w:r>
    </w:p>
    <w:p w14:paraId="0FA3E19C" w14:textId="77777777" w:rsidR="00E315B3" w:rsidRPr="00E315B3" w:rsidRDefault="004400A0" w:rsidP="00E315B3">
      <w:pPr>
        <w:pStyle w:val="Akapitzlist"/>
        <w:numPr>
          <w:ilvl w:val="1"/>
          <w:numId w:val="8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uruchomienia i sprawdzenia poprawności działania agregatu,</w:t>
      </w:r>
    </w:p>
    <w:p w14:paraId="71E83DBE" w14:textId="77777777" w:rsidR="00E315B3" w:rsidRPr="00E315B3" w:rsidRDefault="004400A0" w:rsidP="00E315B3">
      <w:pPr>
        <w:pStyle w:val="Akapitzlist"/>
        <w:numPr>
          <w:ilvl w:val="1"/>
          <w:numId w:val="8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przeszkolenia osób wskazanych przez Zamawiającego z obsługi i konserwacji</w:t>
      </w:r>
    </w:p>
    <w:p w14:paraId="516A4103" w14:textId="77777777" w:rsidR="00E315B3" w:rsidRPr="00E315B3" w:rsidRDefault="004400A0" w:rsidP="00E315B3">
      <w:pPr>
        <w:pStyle w:val="Akapitzlist"/>
        <w:numPr>
          <w:ilvl w:val="1"/>
          <w:numId w:val="8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dostarczenia paliwa do uruchomienia i testowego działania urządzenia.</w:t>
      </w:r>
    </w:p>
    <w:p w14:paraId="55F62B95" w14:textId="07FD763F" w:rsidR="004400A0" w:rsidRPr="00E315B3" w:rsidRDefault="004400A0" w:rsidP="00E315B3">
      <w:pPr>
        <w:pStyle w:val="Akapitzlist"/>
        <w:numPr>
          <w:ilvl w:val="1"/>
          <w:numId w:val="8"/>
        </w:numPr>
        <w:spacing w:before="0" w:after="0"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E315B3">
        <w:rPr>
          <w:rFonts w:ascii="Times New Roman" w:hAnsi="Times New Roman"/>
          <w:sz w:val="22"/>
          <w:szCs w:val="22"/>
          <w:lang w:eastAsia="pl-PL"/>
        </w:rPr>
        <w:t>Zamawiający zastrzega sobie prawo do umieszczenia oznaczeń Gminy</w:t>
      </w:r>
      <w:r w:rsidR="00E315B3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E315B3">
        <w:rPr>
          <w:rFonts w:ascii="Times New Roman" w:hAnsi="Times New Roman"/>
          <w:sz w:val="22"/>
          <w:szCs w:val="22"/>
          <w:lang w:eastAsia="pl-PL"/>
        </w:rPr>
        <w:t xml:space="preserve">(np. naklejek) </w:t>
      </w:r>
      <w:r w:rsidR="00E315B3">
        <w:rPr>
          <w:rFonts w:ascii="Times New Roman" w:hAnsi="Times New Roman"/>
          <w:sz w:val="22"/>
          <w:szCs w:val="22"/>
          <w:lang w:eastAsia="pl-PL"/>
        </w:rPr>
        <w:t xml:space="preserve">                             </w:t>
      </w:r>
      <w:r w:rsidRPr="00E315B3">
        <w:rPr>
          <w:rFonts w:ascii="Times New Roman" w:hAnsi="Times New Roman"/>
          <w:sz w:val="22"/>
          <w:szCs w:val="22"/>
          <w:lang w:eastAsia="pl-PL"/>
        </w:rPr>
        <w:t>na agregacie i przyczepie bez utraty uprawnień gwarancyjnych</w:t>
      </w:r>
    </w:p>
    <w:p w14:paraId="4DA85609" w14:textId="77777777" w:rsidR="00563F68" w:rsidRPr="001C5223" w:rsidRDefault="00563F68" w:rsidP="00563F68">
      <w:pPr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14:paraId="3F0E3D16" w14:textId="77777777" w:rsidR="00D845F0" w:rsidRPr="001C5223" w:rsidRDefault="00D845F0">
      <w:pPr>
        <w:rPr>
          <w:rFonts w:ascii="Times New Roman" w:hAnsi="Times New Roman"/>
          <w:sz w:val="22"/>
          <w:szCs w:val="22"/>
        </w:rPr>
      </w:pPr>
    </w:p>
    <w:sectPr w:rsidR="00D845F0" w:rsidRPr="001C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210"/>
    <w:multiLevelType w:val="multilevel"/>
    <w:tmpl w:val="22EE5C86"/>
    <w:lvl w:ilvl="0">
      <w:start w:val="1"/>
      <w:numFmt w:val="decimal"/>
      <w:lvlText w:val="%1."/>
      <w:lvlJc w:val="left"/>
      <w:pPr>
        <w:ind w:left="360" w:hanging="360"/>
      </w:pPr>
      <w:rPr>
        <w:color w:val="C0000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51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8831E3"/>
    <w:multiLevelType w:val="hybridMultilevel"/>
    <w:tmpl w:val="12CA4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84C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301C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660EB2"/>
    <w:multiLevelType w:val="hybridMultilevel"/>
    <w:tmpl w:val="F6769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E1AA8"/>
    <w:multiLevelType w:val="multilevel"/>
    <w:tmpl w:val="88EC69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DC2410"/>
    <w:multiLevelType w:val="hybridMultilevel"/>
    <w:tmpl w:val="8452D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385442">
    <w:abstractNumId w:val="0"/>
  </w:num>
  <w:num w:numId="2" w16cid:durableId="1696342328">
    <w:abstractNumId w:val="6"/>
  </w:num>
  <w:num w:numId="3" w16cid:durableId="2039623550">
    <w:abstractNumId w:val="2"/>
  </w:num>
  <w:num w:numId="4" w16cid:durableId="393816044">
    <w:abstractNumId w:val="5"/>
  </w:num>
  <w:num w:numId="5" w16cid:durableId="884607468">
    <w:abstractNumId w:val="7"/>
  </w:num>
  <w:num w:numId="6" w16cid:durableId="679233437">
    <w:abstractNumId w:val="1"/>
  </w:num>
  <w:num w:numId="7" w16cid:durableId="1549486183">
    <w:abstractNumId w:val="4"/>
  </w:num>
  <w:num w:numId="8" w16cid:durableId="52630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8A"/>
    <w:rsid w:val="001C5223"/>
    <w:rsid w:val="004400A0"/>
    <w:rsid w:val="004A5D8A"/>
    <w:rsid w:val="004B4929"/>
    <w:rsid w:val="00563F68"/>
    <w:rsid w:val="00680D52"/>
    <w:rsid w:val="00861169"/>
    <w:rsid w:val="0095467A"/>
    <w:rsid w:val="00A47174"/>
    <w:rsid w:val="00C76EDC"/>
    <w:rsid w:val="00D845F0"/>
    <w:rsid w:val="00DC755E"/>
    <w:rsid w:val="00E315B3"/>
    <w:rsid w:val="00E90FE4"/>
    <w:rsid w:val="00F5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63C1"/>
  <w15:chartTrackingRefBased/>
  <w15:docId w15:val="{ED7BD189-F957-4697-BDBC-D43F1720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F68"/>
    <w:pPr>
      <w:spacing w:before="360" w:after="360" w:line="36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D8A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5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D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D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D8A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Numerowanie,L1,2 heading,Akapit z listą5,Nagłowek 3,Preambuła,Akapit z listą BS,Kolorowa lista — akcent 11,Dot pt,F5 List Paragraph,Recommendation,List Paragraph11"/>
    <w:basedOn w:val="Normalny"/>
    <w:link w:val="AkapitzlistZnak"/>
    <w:uiPriority w:val="34"/>
    <w:qFormat/>
    <w:rsid w:val="004A5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D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D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D8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1 Znak,2 heading Znak,Akapit z listą5 Znak,Nagłowek 3 Znak,Preambuła Znak,Akapit z listą BS Znak,Dot pt Znak"/>
    <w:link w:val="Akapitzlist"/>
    <w:uiPriority w:val="34"/>
    <w:qFormat/>
    <w:locked/>
    <w:rsid w:val="0056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pakiet4</dc:creator>
  <cp:keywords/>
  <dc:description/>
  <cp:lastModifiedBy>Paulina Boroszko</cp:lastModifiedBy>
  <cp:revision>4</cp:revision>
  <cp:lastPrinted>2026-04-28T11:14:00Z</cp:lastPrinted>
  <dcterms:created xsi:type="dcterms:W3CDTF">2026-04-28T11:29:00Z</dcterms:created>
  <dcterms:modified xsi:type="dcterms:W3CDTF">2026-05-12T10:23:00Z</dcterms:modified>
</cp:coreProperties>
</file>