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DB6C" w14:textId="7E8ABCF2" w:rsidR="001E0736" w:rsidRDefault="001E0736" w:rsidP="001E0736">
      <w:pPr>
        <w:pStyle w:val="Standard"/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Załącznik_nr_2_do_SWZ"/>
      <w:bookmarkStart w:id="1" w:name="__RefHeading___Toc9095_286065283"/>
      <w:r>
        <w:rPr>
          <w:rFonts w:ascii="Times New Roman" w:hAnsi="Times New Roman" w:cs="Times New Roman"/>
          <w:b/>
          <w:bCs/>
          <w:sz w:val="22"/>
          <w:szCs w:val="22"/>
        </w:rPr>
        <w:t>Załącznik nr 1 do SWZ</w:t>
      </w:r>
      <w:bookmarkEnd w:id="0"/>
      <w:bookmarkEnd w:id="1"/>
    </w:p>
    <w:p w14:paraId="2B7F797D" w14:textId="77777777" w:rsidR="001E0736" w:rsidRPr="001E0736" w:rsidRDefault="001E0736" w:rsidP="001E0736">
      <w:pPr>
        <w:pStyle w:val="Standard"/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2EBBC898" w14:textId="2A5ECAB9" w:rsidR="00E77231" w:rsidRPr="00913E10" w:rsidRDefault="00E77231" w:rsidP="000E7E87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OGÓLNE WARUNKI DOSTAWY SPRZĘTÓW INFORMATYCZNYCH:</w:t>
      </w:r>
    </w:p>
    <w:p w14:paraId="7B195930" w14:textId="3F403F08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Wykonawca zapewni dostawę do</w:t>
      </w:r>
      <w:r w:rsidR="00DF2DCD" w:rsidRPr="00913E10">
        <w:rPr>
          <w:rFonts w:asciiTheme="minorHAnsi" w:hAnsiTheme="minorHAnsi" w:cstheme="minorHAnsi"/>
          <w:sz w:val="20"/>
          <w:szCs w:val="20"/>
        </w:rPr>
        <w:t xml:space="preserve"> lokalizacji</w:t>
      </w:r>
      <w:r w:rsidRPr="00913E10">
        <w:rPr>
          <w:rFonts w:asciiTheme="minorHAnsi" w:hAnsiTheme="minorHAnsi" w:cstheme="minorHAnsi"/>
          <w:sz w:val="20"/>
          <w:szCs w:val="20"/>
        </w:rPr>
        <w:t xml:space="preserve"> wskazanej </w:t>
      </w:r>
      <w:r w:rsidR="00DF2DCD" w:rsidRPr="00913E10">
        <w:rPr>
          <w:rFonts w:asciiTheme="minorHAnsi" w:hAnsiTheme="minorHAnsi" w:cstheme="minorHAnsi"/>
          <w:sz w:val="20"/>
          <w:szCs w:val="20"/>
        </w:rPr>
        <w:t xml:space="preserve">przez </w:t>
      </w:r>
      <w:r w:rsidRPr="00913E10">
        <w:rPr>
          <w:rFonts w:asciiTheme="minorHAnsi" w:hAnsiTheme="minorHAnsi" w:cstheme="minorHAnsi"/>
          <w:sz w:val="20"/>
          <w:szCs w:val="20"/>
        </w:rPr>
        <w:t>Zamawiającego.</w:t>
      </w:r>
    </w:p>
    <w:p w14:paraId="621BF528" w14:textId="77777777" w:rsidR="000E7E87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Wykonawca zapewni transport sprzętów na miejsce.</w:t>
      </w:r>
    </w:p>
    <w:p w14:paraId="2A469006" w14:textId="66338902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Dostarczony sprzęt musi być wolny od wad prawnych i fizycznych oraz nie noszący oznak użytkowania.</w:t>
      </w:r>
    </w:p>
    <w:p w14:paraId="0FE43799" w14:textId="2A3765BB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Dostarczony sprzęt musi być fabrycznie nowy, musi pochodzić z oficjalnego kanału sprzedaży producenta na rynek polski, pochodzić z seryjnej produkcji z uwzględnieniem opcji konfiguracyjnych przewidzianych przez producenta dla oferowanego modelu sprzętu.</w:t>
      </w:r>
    </w:p>
    <w:p w14:paraId="4165D4F9" w14:textId="5B9E241C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Niedopuszczalne są produkty prototypowe, nie dopuszcza się urządzeń długotrwale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magazynowanych oraz pochodzących z programów wyprzedażowych producenta.</w:t>
      </w:r>
    </w:p>
    <w:p w14:paraId="7AA836C2" w14:textId="744882C7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Urządzenia muszą być dostarczone Zamawiającemu w oryginalnych opakowaniach producenta.</w:t>
      </w:r>
    </w:p>
    <w:p w14:paraId="2249BCAB" w14:textId="3D965FCD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Urządzenie na etapie dostawy producent a zamawiający nie mogą podlegać modyfikacjom.</w:t>
      </w:r>
    </w:p>
    <w:p w14:paraId="59082955" w14:textId="40C5BD59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Do każdego urządzenia musi być dostarczony komplet standardowej dokumentacji dla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użytkownika w</w:t>
      </w:r>
      <w:r w:rsidR="00913E10">
        <w:rPr>
          <w:rFonts w:asciiTheme="minorHAnsi" w:hAnsiTheme="minorHAnsi" w:cstheme="minorHAnsi"/>
          <w:sz w:val="20"/>
          <w:szCs w:val="20"/>
        </w:rPr>
        <w:t> </w:t>
      </w:r>
      <w:r w:rsidRPr="00913E10">
        <w:rPr>
          <w:rFonts w:asciiTheme="minorHAnsi" w:hAnsiTheme="minorHAnsi" w:cstheme="minorHAnsi"/>
          <w:sz w:val="20"/>
          <w:szCs w:val="20"/>
        </w:rPr>
        <w:t>języku polskim lub z tłumaczeniem na j. polski, w formie papierowej lub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elektronicznej.</w:t>
      </w:r>
    </w:p>
    <w:p w14:paraId="29269100" w14:textId="4840FD07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Ewentualne odstępstwa mogą być realizowane wyłącznie za zgodą Zamawiającego.</w:t>
      </w:r>
    </w:p>
    <w:p w14:paraId="75E65FC7" w14:textId="10B28D15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Gwarancja i serwis na urządzenia musi być świadczony przez firmę autoryzowaną przez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producenta lub jego przedstawicielstwo w Polsce w przypadku gdy Oferent nie posiada takiej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autoryzacji.</w:t>
      </w:r>
    </w:p>
    <w:p w14:paraId="5959D7DA" w14:textId="20A8F768" w:rsidR="00E77231" w:rsidRPr="00913E10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Elementy, z których zbudowane są urządzenia muszą być produktami producenta urządzeń lub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być przez niego certyfikowane oraz całe muszą być objęte gwarancją producenta.</w:t>
      </w:r>
    </w:p>
    <w:p w14:paraId="21F05B8E" w14:textId="479B7270" w:rsidR="00E77231" w:rsidRDefault="00E77231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Urządzenia i ich komponenty muszą być oznakowane w taki sposób, aby możliwa była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Pr="00913E10">
        <w:rPr>
          <w:rFonts w:asciiTheme="minorHAnsi" w:hAnsiTheme="minorHAnsi" w:cstheme="minorHAnsi"/>
          <w:sz w:val="20"/>
          <w:szCs w:val="20"/>
        </w:rPr>
        <w:t>identyfikacja zarówno produktu jak i producenta.</w:t>
      </w:r>
    </w:p>
    <w:p w14:paraId="1AE8294A" w14:textId="7612F238" w:rsidR="00655873" w:rsidRPr="00655873" w:rsidRDefault="00655873" w:rsidP="000E7E87">
      <w:pPr>
        <w:pStyle w:val="Akapitzlist"/>
        <w:numPr>
          <w:ilvl w:val="0"/>
          <w:numId w:val="1"/>
        </w:numPr>
        <w:jc w:val="both"/>
      </w:pPr>
      <w:r w:rsidRPr="00655873">
        <w:rPr>
          <w:rFonts w:asciiTheme="minorHAnsi" w:hAnsiTheme="minorHAnsi" w:cstheme="minorHAnsi"/>
          <w:sz w:val="20"/>
          <w:szCs w:val="20"/>
        </w:rPr>
        <w:t>Do każdego urządzenia wchodzącym w przedmiot zamówienia należy dołączyć trwałą na ścieralność naklejkę według wzoru:</w:t>
      </w:r>
    </w:p>
    <w:p w14:paraId="192E23C0" w14:textId="7C85B330" w:rsidR="00655873" w:rsidRDefault="00655873" w:rsidP="00655873">
      <w:pPr>
        <w:pStyle w:val="Akapitzlist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br w:type="textWrapping" w:clear="all"/>
      </w:r>
    </w:p>
    <w:p w14:paraId="6C77FC0A" w14:textId="5F26D8D8" w:rsidR="00655873" w:rsidRPr="00655873" w:rsidRDefault="00655873" w:rsidP="00B9381E">
      <w:pPr>
        <w:pStyle w:val="Akapitzlist"/>
        <w:ind w:left="284"/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Style w:val="markedcontent"/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A80C0F2" wp14:editId="43C79FB9">
            <wp:extent cx="5704840" cy="1200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14:paraId="318217EB" w14:textId="420E5948" w:rsidR="00655873" w:rsidRPr="00913E10" w:rsidRDefault="00655873" w:rsidP="000E7E8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5873">
        <w:rPr>
          <w:rFonts w:asciiTheme="minorHAnsi" w:hAnsiTheme="minorHAnsi" w:cstheme="minorHAnsi"/>
          <w:sz w:val="20"/>
          <w:szCs w:val="20"/>
        </w:rPr>
        <w:t xml:space="preserve"> Zamawiający wymaga, aby element promocyjny był wykonany w wielkości 6 cm x 3 cm, nie odlepiał się po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55873">
        <w:rPr>
          <w:rFonts w:asciiTheme="minorHAnsi" w:hAnsiTheme="minorHAnsi" w:cstheme="minorHAnsi"/>
          <w:sz w:val="20"/>
          <w:szCs w:val="20"/>
        </w:rPr>
        <w:t>jakimś czasie lub na skutek wykonywania czynności sprzątających typu wytarcie kurzu. Zamawiający</w:t>
      </w:r>
      <w:r w:rsidRPr="00655873">
        <w:rPr>
          <w:rFonts w:asciiTheme="minorHAnsi" w:hAnsiTheme="minorHAnsi" w:cstheme="minorHAnsi"/>
          <w:sz w:val="20"/>
          <w:szCs w:val="20"/>
        </w:rPr>
        <w:br/>
        <w:t>zastrzega możliwość zmiany określonego wzoru.</w:t>
      </w:r>
    </w:p>
    <w:p w14:paraId="653BF093" w14:textId="77777777" w:rsidR="000E7E87" w:rsidRPr="00913E10" w:rsidRDefault="000E7E87" w:rsidP="00E77231">
      <w:pPr>
        <w:rPr>
          <w:rFonts w:asciiTheme="minorHAnsi" w:hAnsiTheme="minorHAnsi" w:cstheme="minorHAnsi"/>
          <w:sz w:val="20"/>
          <w:szCs w:val="20"/>
        </w:rPr>
      </w:pPr>
    </w:p>
    <w:p w14:paraId="757A8EBD" w14:textId="77777777" w:rsidR="000E7E87" w:rsidRPr="00913E10" w:rsidRDefault="000E7E87" w:rsidP="00E77231">
      <w:pPr>
        <w:rPr>
          <w:rFonts w:asciiTheme="minorHAnsi" w:hAnsiTheme="minorHAnsi" w:cstheme="minorHAnsi"/>
          <w:sz w:val="20"/>
          <w:szCs w:val="20"/>
        </w:rPr>
      </w:pPr>
    </w:p>
    <w:p w14:paraId="4906A324" w14:textId="516FC312" w:rsidR="00E77231" w:rsidRPr="00913E10" w:rsidRDefault="00E77231">
      <w:pPr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 xml:space="preserve">SZCZEGÓŁOWY OPIS - KOMPUTER PRZENOŚNY – </w:t>
      </w:r>
      <w:r w:rsidR="00655873">
        <w:rPr>
          <w:rFonts w:asciiTheme="minorHAnsi" w:hAnsiTheme="minorHAnsi" w:cstheme="minorHAnsi"/>
          <w:sz w:val="20"/>
          <w:szCs w:val="20"/>
        </w:rPr>
        <w:t>114</w:t>
      </w:r>
      <w:r w:rsidR="000E7E87" w:rsidRPr="00913E10">
        <w:rPr>
          <w:rFonts w:asciiTheme="minorHAnsi" w:hAnsiTheme="minorHAnsi" w:cstheme="minorHAnsi"/>
          <w:sz w:val="20"/>
          <w:szCs w:val="20"/>
        </w:rPr>
        <w:t xml:space="preserve"> </w:t>
      </w:r>
      <w:r w:rsidR="00913E10">
        <w:rPr>
          <w:rFonts w:asciiTheme="minorHAnsi" w:hAnsiTheme="minorHAnsi" w:cstheme="minorHAnsi"/>
          <w:sz w:val="20"/>
          <w:szCs w:val="20"/>
        </w:rPr>
        <w:t>s</w:t>
      </w:r>
      <w:r w:rsidR="000E7E87" w:rsidRPr="00913E10">
        <w:rPr>
          <w:rFonts w:asciiTheme="minorHAnsi" w:hAnsiTheme="minorHAnsi" w:cstheme="minorHAnsi"/>
          <w:sz w:val="20"/>
          <w:szCs w:val="20"/>
        </w:rPr>
        <w:t>zt.</w:t>
      </w:r>
    </w:p>
    <w:p w14:paraId="00E1DAEA" w14:textId="199AFA27" w:rsidR="00E77231" w:rsidRPr="00913E10" w:rsidRDefault="00E77231">
      <w:pPr>
        <w:rPr>
          <w:rFonts w:asciiTheme="minorHAnsi" w:hAnsiTheme="minorHAnsi" w:cstheme="minorHAnsi"/>
          <w:sz w:val="20"/>
          <w:szCs w:val="20"/>
        </w:rPr>
      </w:pPr>
    </w:p>
    <w:p w14:paraId="5E162347" w14:textId="7BB258F3" w:rsidR="000E7E87" w:rsidRPr="00913E10" w:rsidRDefault="000E7E87" w:rsidP="000E7E87">
      <w:p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 xml:space="preserve">W ofercie należy podać nazwę producenta, typ, model, oraz numer katalogowy (numer konfiguracji lub part </w:t>
      </w:r>
      <w:r w:rsidR="00913E10" w:rsidRPr="00913E10">
        <w:rPr>
          <w:rFonts w:asciiTheme="minorHAnsi" w:hAnsiTheme="minorHAnsi" w:cstheme="minorHAnsi"/>
          <w:sz w:val="20"/>
          <w:szCs w:val="20"/>
        </w:rPr>
        <w:t>num</w:t>
      </w:r>
      <w:r w:rsidR="00913E10">
        <w:rPr>
          <w:rFonts w:asciiTheme="minorHAnsi" w:hAnsiTheme="minorHAnsi" w:cstheme="minorHAnsi"/>
          <w:sz w:val="20"/>
          <w:szCs w:val="20"/>
        </w:rPr>
        <w:t>e</w:t>
      </w:r>
      <w:r w:rsidR="00913E10" w:rsidRPr="00913E10">
        <w:rPr>
          <w:rFonts w:asciiTheme="minorHAnsi" w:hAnsiTheme="minorHAnsi" w:cstheme="minorHAnsi"/>
          <w:sz w:val="20"/>
          <w:szCs w:val="20"/>
        </w:rPr>
        <w:t>r</w:t>
      </w:r>
      <w:r w:rsidRPr="00913E10">
        <w:rPr>
          <w:rFonts w:asciiTheme="minorHAnsi" w:hAnsiTheme="minorHAnsi" w:cstheme="minorHAnsi"/>
          <w:sz w:val="20"/>
          <w:szCs w:val="20"/>
        </w:rPr>
        <w:t xml:space="preserve">) oferowanego sprzętu umożliwiający jednoznaczną identyfikację oferowanej konfiguracji. 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</w:r>
    </w:p>
    <w:p w14:paraId="0F4DCB38" w14:textId="3EBF1BB8" w:rsidR="000E7E87" w:rsidRDefault="000E7E87" w:rsidP="000E7E87">
      <w:pPr>
        <w:jc w:val="both"/>
        <w:rPr>
          <w:rFonts w:asciiTheme="minorHAnsi" w:hAnsiTheme="minorHAnsi" w:cstheme="minorHAnsi"/>
          <w:sz w:val="20"/>
          <w:szCs w:val="20"/>
        </w:rPr>
      </w:pPr>
      <w:r w:rsidRPr="00913E10">
        <w:rPr>
          <w:rFonts w:asciiTheme="minorHAnsi" w:hAnsiTheme="minorHAnsi" w:cstheme="minorHAnsi"/>
          <w:sz w:val="20"/>
          <w:szCs w:val="20"/>
        </w:rPr>
        <w:t>Zamawiający zastrzega sobie prawo do sprawdzenia reżimu gwarancyjnego oraz dostarczonej konfiguracji na dedykowanej stronie internetowej producenta sprzętu.</w:t>
      </w:r>
    </w:p>
    <w:p w14:paraId="449729B3" w14:textId="76279948" w:rsidR="00C207A6" w:rsidRDefault="00C207A6" w:rsidP="000E7E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305684" w14:textId="2173ED6E" w:rsidR="00C207A6" w:rsidRDefault="00C207A6" w:rsidP="000E7E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6868E1" w14:textId="77777777" w:rsidR="00C207A6" w:rsidRPr="00913E10" w:rsidRDefault="00C207A6" w:rsidP="000E7E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1C8EB" w14:textId="77777777" w:rsidR="00E77231" w:rsidRPr="00913E10" w:rsidRDefault="00E7723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0E7E87" w:rsidRPr="00913E10" w14:paraId="4B2E54D6" w14:textId="77777777" w:rsidTr="000E7E87">
        <w:trPr>
          <w:trHeight w:val="3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DC9A" w14:textId="77777777" w:rsidR="000E7E87" w:rsidRPr="00913E10" w:rsidRDefault="000E7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C3C2" w14:textId="77777777" w:rsidR="000E7E87" w:rsidRPr="00913E10" w:rsidRDefault="000E7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0E7E87" w:rsidRPr="00913E10" w14:paraId="43AB7D31" w14:textId="77777777" w:rsidTr="000E7E87">
        <w:trPr>
          <w:trHeight w:val="8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41E" w14:textId="7ADA0E0C" w:rsidR="000E7E87" w:rsidRPr="00913E10" w:rsidRDefault="000E7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Informacje ogólne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D545" w14:textId="1177D7E1" w:rsidR="000E7E87" w:rsidRPr="00015AE3" w:rsidRDefault="000E7E87" w:rsidP="009E00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Komputer przenośny typu notebook, wykorzystywany dla potrzeb aplikacji biurowych, aplikacji edukacyjnych, dostępu do Internetu oraz poczty elektronicznej</w:t>
            </w:r>
          </w:p>
        </w:tc>
      </w:tr>
      <w:tr w:rsidR="000E7E87" w:rsidRPr="00913E10" w14:paraId="1214BF84" w14:textId="77777777" w:rsidTr="00913E10">
        <w:trPr>
          <w:trHeight w:val="8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B1E9" w14:textId="506FD4EF" w:rsidR="000E7E87" w:rsidRPr="00913E10" w:rsidRDefault="000E7E87" w:rsidP="00D133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1574" w14:textId="32CE2C13" w:rsidR="000E7E87" w:rsidRPr="00015AE3" w:rsidRDefault="000E7E87" w:rsidP="00913E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Ekran 15,6" LED o rozdzielczości Full HD (1920 x 1080) z powłoką antyrefleksyjną, nie dopuszcza się matryc typu "</w:t>
            </w:r>
            <w:proofErr w:type="spellStart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glare</w:t>
            </w:r>
            <w:proofErr w:type="spellEnd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", jasność min. 220 cd/m</w:t>
            </w:r>
            <w:r w:rsidRPr="00015A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851A78"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51A78" w:rsidRPr="00015AE3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kontrast 400:1</w:t>
            </w:r>
          </w:p>
        </w:tc>
      </w:tr>
      <w:tr w:rsidR="000E7E87" w:rsidRPr="00913E10" w14:paraId="7FB274E8" w14:textId="77777777" w:rsidTr="00514B72">
        <w:trPr>
          <w:trHeight w:val="18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7D0" w14:textId="594EE32D" w:rsidR="00D13336" w:rsidRPr="00913E10" w:rsidRDefault="00D13336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4F6B" w14:textId="77777777" w:rsidR="008E6B7F" w:rsidRPr="008E6B7F" w:rsidRDefault="008E6B7F" w:rsidP="008E6B7F">
            <w:pPr>
              <w:widowControl/>
              <w:autoSpaceDE/>
              <w:autoSpaceDN/>
              <w:jc w:val="both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Notebook w oferowanej konfiguracji musi osiągać w teście </w:t>
            </w:r>
            <w:proofErr w:type="spellStart"/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Bapco</w:t>
            </w:r>
            <w:proofErr w:type="spellEnd"/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Mobile Mark25 wyniki nie gorsze niż:</w:t>
            </w:r>
          </w:p>
          <w:p w14:paraId="41708CA5" w14:textId="77777777" w:rsidR="008E6B7F" w:rsidRPr="008E6B7F" w:rsidRDefault="008E6B7F" w:rsidP="008E6B7F">
            <w:pPr>
              <w:widowControl/>
              <w:autoSpaceDE/>
              <w:autoSpaceDN/>
              <w:jc w:val="both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Productivity – minimum 745 punktów</w:t>
            </w:r>
          </w:p>
          <w:p w14:paraId="15D06871" w14:textId="77777777" w:rsidR="008E6B7F" w:rsidRPr="008E6B7F" w:rsidRDefault="008E6B7F" w:rsidP="008E6B7F">
            <w:pPr>
              <w:widowControl/>
              <w:autoSpaceDE/>
              <w:autoSpaceDN/>
              <w:jc w:val="both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DC Performance – minimum 715 pkt</w:t>
            </w:r>
          </w:p>
          <w:p w14:paraId="5FE976C3" w14:textId="77777777" w:rsidR="008E6B7F" w:rsidRDefault="008E6B7F" w:rsidP="008E6B7F">
            <w:pPr>
              <w:jc w:val="both"/>
              <w:rPr>
                <w:rStyle w:val="fontstyle01"/>
                <w:rFonts w:cstheme="minorHAnsi"/>
                <w:sz w:val="20"/>
                <w:szCs w:val="20"/>
              </w:rPr>
            </w:pPr>
            <w:proofErr w:type="spellStart"/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MobileMark</w:t>
            </w:r>
            <w:proofErr w:type="spellEnd"/>
            <w:r w:rsidRPr="008E6B7F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25 indeks – minimum 280 pkt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946AEB" w14:textId="5934F6B6" w:rsidR="00851A78" w:rsidRPr="00913E10" w:rsidRDefault="00851A78" w:rsidP="008E6B7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sz w:val="20"/>
                <w:szCs w:val="20"/>
              </w:rPr>
              <w:t xml:space="preserve">Wymagane testy wydajnościowe wykonawca musi przeprowadzić na </w:t>
            </w:r>
            <w:r w:rsidRPr="00913E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automatycznych ustawieniach konfiguratora dołączonego przez firmę BAPCO i przy natywnej rozdzielczości wyświetlacza oraz włączonych wszystkich urządzaniach. Nie dopuszcza się stosowanie </w:t>
            </w:r>
            <w:proofErr w:type="spellStart"/>
            <w:r w:rsidRPr="00913E10">
              <w:rPr>
                <w:rFonts w:asciiTheme="minorHAnsi" w:hAnsiTheme="minorHAnsi" w:cstheme="minorHAnsi"/>
                <w:bCs/>
                <w:sz w:val="20"/>
                <w:szCs w:val="20"/>
              </w:rPr>
              <w:t>overclokingu</w:t>
            </w:r>
            <w:proofErr w:type="spellEnd"/>
            <w:r w:rsidRPr="00913E10">
              <w:rPr>
                <w:rFonts w:asciiTheme="minorHAnsi" w:hAnsiTheme="minorHAnsi" w:cstheme="minorHAnsi"/>
                <w:bCs/>
                <w:sz w:val="20"/>
                <w:szCs w:val="20"/>
              </w:rPr>
              <w:t>, oprogramowania wspomagającego pochodzącego z</w:t>
            </w:r>
            <w:r w:rsidR="00913E1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913E10">
              <w:rPr>
                <w:rFonts w:asciiTheme="minorHAnsi" w:hAnsiTheme="minorHAnsi" w:cstheme="minorHAnsi"/>
                <w:bCs/>
                <w:sz w:val="20"/>
                <w:szCs w:val="20"/>
              </w:rPr>
              <w:t>innego źródła niż fabrycznie zainstalowane oprogramowanie przez producenta, ingerowania w ustawieniach BIOS (tzn. wyłączanie urządzeń stanowiących pełną konfigurację) jak również w samym środowisku systemu (tzn. zmniejszanie rozdzielczości, jasności i kontrastu itp.)</w:t>
            </w:r>
          </w:p>
          <w:p w14:paraId="6FD65CBC" w14:textId="77777777" w:rsidR="00851A78" w:rsidRPr="00913E10" w:rsidRDefault="00851A78" w:rsidP="00851A7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Cs/>
                <w:sz w:val="20"/>
                <w:szCs w:val="20"/>
              </w:rPr>
              <w:t>Potwierdzeniem spełnienia powyższych wymagań będzie dołączony do oferty wydruk raportu z oprogramowania testującego.</w:t>
            </w:r>
          </w:p>
          <w:p w14:paraId="355F70BD" w14:textId="0DB08E50" w:rsidR="000E7E87" w:rsidRPr="00913E10" w:rsidRDefault="00851A78" w:rsidP="00851A78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Cs/>
                <w:sz w:val="20"/>
                <w:szCs w:val="20"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</w:p>
        </w:tc>
      </w:tr>
      <w:tr w:rsidR="00D13336" w:rsidRPr="00913E10" w14:paraId="4CB4D583" w14:textId="77777777" w:rsidTr="00913E10">
        <w:trPr>
          <w:trHeight w:val="8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6DC" w14:textId="071211C5" w:rsidR="00D13336" w:rsidRPr="00913E10" w:rsidRDefault="00D13336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EF50" w14:textId="54D9378B" w:rsidR="00D13336" w:rsidRPr="00015AE3" w:rsidRDefault="00D13336" w:rsidP="009E00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Min. 8GB</w:t>
            </w:r>
            <w:r w:rsidR="004149F8"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2C83" w:rsidRPr="00015AE3">
              <w:rPr>
                <w:rFonts w:asciiTheme="minorHAnsi" w:hAnsiTheme="minorHAnsi" w:cstheme="minorHAnsi"/>
                <w:sz w:val="20"/>
                <w:szCs w:val="20"/>
              </w:rPr>
              <w:t>DDR</w:t>
            </w: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, możliwość rozbudowy do min. </w:t>
            </w:r>
            <w:r w:rsidR="006B4BD7" w:rsidRPr="00015AE3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 GB; dwa </w:t>
            </w:r>
            <w:proofErr w:type="spellStart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proofErr w:type="spellEnd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 pamięci, nie dopuszcza się pamięci wlutowanych; możliwość rozbudowy pamięci przez użytkownika</w:t>
            </w:r>
          </w:p>
        </w:tc>
      </w:tr>
      <w:tr w:rsidR="006B4BD7" w:rsidRPr="00913E10" w14:paraId="72741E40" w14:textId="77777777" w:rsidTr="00F159E6">
        <w:trPr>
          <w:trHeight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48C" w14:textId="56587740" w:rsidR="006B4BD7" w:rsidRPr="00913E10" w:rsidRDefault="006B4BD7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7CC" w14:textId="08B154EC" w:rsidR="006B4BD7" w:rsidRPr="00015AE3" w:rsidRDefault="006B4BD7" w:rsidP="009E00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Dysk min. 256 GB </w:t>
            </w:r>
            <w:proofErr w:type="spellStart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 SSD M.2; fabryczna możliwość instalacji drugiego dysku</w:t>
            </w:r>
            <w:r w:rsidR="009E00A5" w:rsidRPr="00015AE3">
              <w:rPr>
                <w:rFonts w:asciiTheme="minorHAnsi" w:hAnsiTheme="minorHAnsi" w:cstheme="minorHAnsi"/>
                <w:sz w:val="20"/>
                <w:szCs w:val="20"/>
              </w:rPr>
              <w:t>; partycja RECOVERY umożliwiająca odtworzenie systemu operacyjnego fabrycznie zainstalowanego na komputerze</w:t>
            </w:r>
          </w:p>
        </w:tc>
      </w:tr>
      <w:tr w:rsidR="009E00A5" w:rsidRPr="00913E10" w14:paraId="58A90E61" w14:textId="77777777" w:rsidTr="00514B72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949E" w14:textId="7E5B5380" w:rsidR="009E00A5" w:rsidRPr="00913E10" w:rsidRDefault="009E00A5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9E5" w14:textId="10C32947" w:rsidR="009E00A5" w:rsidRPr="00015AE3" w:rsidRDefault="009E00A5" w:rsidP="009E00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Zintegrowana z procesorem</w:t>
            </w:r>
          </w:p>
        </w:tc>
      </w:tr>
      <w:tr w:rsidR="00542C35" w:rsidRPr="00913E10" w14:paraId="17FB6EEA" w14:textId="77777777" w:rsidTr="00913E10">
        <w:trPr>
          <w:trHeight w:val="11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B29" w14:textId="13DFDC14" w:rsidR="00542C35" w:rsidRPr="00913E10" w:rsidRDefault="00542C35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6E8" w14:textId="77777777" w:rsidR="00542C35" w:rsidRPr="00015AE3" w:rsidRDefault="00542C35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karta dźwiękowa zintegrowana, dwukanałowa, zgodna z HD</w:t>
            </w:r>
          </w:p>
          <w:p w14:paraId="43A2E3A6" w14:textId="77777777" w:rsidR="00542C35" w:rsidRPr="00015AE3" w:rsidRDefault="00542C35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wbudowane głośniki stereo</w:t>
            </w:r>
          </w:p>
          <w:p w14:paraId="544A1966" w14:textId="77777777" w:rsidR="00542C35" w:rsidRPr="00015AE3" w:rsidRDefault="00542C35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wbudowany cyfrowy mikrofon z funkcją redukcji szumów i poprawy mowy</w:t>
            </w:r>
          </w:p>
          <w:p w14:paraId="53A5BAC8" w14:textId="7F026821" w:rsidR="0041241A" w:rsidRPr="00015AE3" w:rsidRDefault="00542C35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wbudowana kamera internetowa o rozdzielczości min. HD</w:t>
            </w:r>
          </w:p>
        </w:tc>
      </w:tr>
      <w:tr w:rsidR="000E062C" w:rsidRPr="00913E10" w14:paraId="36BB5963" w14:textId="77777777" w:rsidTr="00092ECE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7E0" w14:textId="7498BE52" w:rsidR="000E062C" w:rsidRPr="00913E10" w:rsidRDefault="000E062C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9B9" w14:textId="332F8AEF" w:rsidR="000E062C" w:rsidRPr="00015AE3" w:rsidRDefault="000E062C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Min. 3x USB w tym min. 2 porty USB 3.2</w:t>
            </w:r>
            <w:r w:rsidR="00015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5AE3" w:rsidRPr="00015AE3">
              <w:rPr>
                <w:rFonts w:asciiTheme="minorHAnsi" w:hAnsiTheme="minorHAnsi" w:cstheme="minorHAnsi"/>
                <w:sz w:val="20"/>
                <w:szCs w:val="20"/>
              </w:rPr>
              <w:t>gen1 typ-A</w:t>
            </w:r>
          </w:p>
          <w:p w14:paraId="2C81093D" w14:textId="77583001" w:rsidR="000E062C" w:rsidRPr="00015AE3" w:rsidRDefault="000E062C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RJ-45</w:t>
            </w:r>
          </w:p>
          <w:p w14:paraId="2F062005" w14:textId="47E021D3" w:rsidR="00E47A02" w:rsidRPr="00015AE3" w:rsidRDefault="00E47A02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Karta sieciowa bezprzewodowa 802.11 </w:t>
            </w:r>
            <w:proofErr w:type="spellStart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  <w:proofErr w:type="spellEnd"/>
            <w:r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 z modułem Bluetooth</w:t>
            </w:r>
          </w:p>
          <w:p w14:paraId="0B39D0D3" w14:textId="6B6F4828" w:rsidR="000E062C" w:rsidRPr="00015AE3" w:rsidRDefault="000E062C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Czytnik kart SD</w:t>
            </w:r>
            <w:r w:rsidR="00553588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proofErr w:type="spellStart"/>
            <w:r w:rsidR="00553588">
              <w:rPr>
                <w:rFonts w:asciiTheme="minorHAnsi" w:hAnsiTheme="minorHAnsi" w:cstheme="minorHAnsi"/>
                <w:sz w:val="20"/>
                <w:szCs w:val="20"/>
              </w:rPr>
              <w:t>microSD</w:t>
            </w:r>
            <w:proofErr w:type="spellEnd"/>
          </w:p>
          <w:p w14:paraId="6F7805AA" w14:textId="77777777" w:rsidR="000E062C" w:rsidRPr="00015AE3" w:rsidRDefault="000E062C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E47A02" w:rsidRPr="00015AE3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</w:p>
          <w:p w14:paraId="5ED8EC22" w14:textId="77777777" w:rsidR="00A3644C" w:rsidRPr="00015AE3" w:rsidRDefault="00A3644C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t>złącze słuchawkowe stereo i złącze mikrofonowe</w:t>
            </w:r>
          </w:p>
          <w:p w14:paraId="735248AF" w14:textId="4F0688F8" w:rsidR="00A3644C" w:rsidRPr="00015AE3" w:rsidRDefault="00A3644C" w:rsidP="00A3644C">
            <w:pPr>
              <w:pStyle w:val="Akapitzlist"/>
              <w:numPr>
                <w:ilvl w:val="0"/>
                <w:numId w:val="2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złącze zasilania (zasilacz nie może zajmować portów USB)</w:t>
            </w:r>
          </w:p>
        </w:tc>
      </w:tr>
      <w:tr w:rsidR="005448E7" w:rsidRPr="00913E10" w14:paraId="5356BBB3" w14:textId="77777777" w:rsidTr="00913E10">
        <w:trPr>
          <w:trHeight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D51" w14:textId="3915DDE5" w:rsidR="005448E7" w:rsidRPr="00913E10" w:rsidRDefault="005448E7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Klawiatura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D2A" w14:textId="36D732B7" w:rsidR="005448E7" w:rsidRPr="0091446F" w:rsidRDefault="005A50B1" w:rsidP="005448E7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Pełnowymiarowa z wydzielonymi pełnowymiarowymi klawiszami numerycznymi w prawej części klawiatury, w układzie US-QWERTY</w:t>
            </w:r>
            <w:r w:rsidR="00D35733" w:rsidRPr="0091446F">
              <w:rPr>
                <w:rFonts w:asciiTheme="minorHAnsi" w:hAnsiTheme="minorHAnsi" w:cstheme="minorHAnsi"/>
                <w:sz w:val="20"/>
                <w:szCs w:val="20"/>
              </w:rPr>
              <w:t>, opcjonalnie z wbudowanym pod</w:t>
            </w:r>
            <w:r w:rsidR="00213221" w:rsidRPr="0091446F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="00D35733" w:rsidRPr="0091446F">
              <w:rPr>
                <w:rFonts w:asciiTheme="minorHAnsi" w:hAnsiTheme="minorHAnsi" w:cstheme="minorHAnsi"/>
                <w:sz w:val="20"/>
                <w:szCs w:val="20"/>
              </w:rPr>
              <w:t>wietleniem</w:t>
            </w:r>
          </w:p>
        </w:tc>
      </w:tr>
      <w:tr w:rsidR="005A50B1" w:rsidRPr="00913E10" w14:paraId="37136671" w14:textId="77777777" w:rsidTr="00913E10">
        <w:trPr>
          <w:trHeight w:val="7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65C" w14:textId="5E614738" w:rsidR="005A50B1" w:rsidRPr="00913E10" w:rsidRDefault="005A50B1" w:rsidP="005A50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Urządzenie wskazujące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DAB" w14:textId="5902E03C" w:rsidR="005A50B1" w:rsidRPr="0091446F" w:rsidRDefault="005A50B1" w:rsidP="005448E7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Touchpad</w:t>
            </w:r>
            <w:proofErr w:type="spellEnd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 (płytka dotykowa) wbudowana w obudowę notebooka, z obsługą gestów</w:t>
            </w:r>
          </w:p>
        </w:tc>
      </w:tr>
      <w:tr w:rsidR="005E40A4" w:rsidRPr="00913E10" w14:paraId="43358CE3" w14:textId="77777777" w:rsidTr="00514B72">
        <w:trPr>
          <w:trHeight w:val="17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F37" w14:textId="1A51DF81" w:rsidR="005E40A4" w:rsidRPr="00913E10" w:rsidRDefault="000E062C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A748" w14:textId="2B092533" w:rsidR="00B125F0" w:rsidRPr="0091446F" w:rsidRDefault="00B125F0" w:rsidP="00B125F0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Czas pracy na baterii minimum 380 minut</w:t>
            </w:r>
            <w:r w:rsidR="009144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potwierdzony przeprowadzonym testem </w:t>
            </w:r>
            <w:proofErr w:type="spellStart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MobileMark</w:t>
            </w:r>
            <w:proofErr w:type="spellEnd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 25 Battery Life (do oferty załączyć wydruk przeprowadzonego testu)</w:t>
            </w:r>
          </w:p>
          <w:p w14:paraId="7668732A" w14:textId="77777777" w:rsidR="00B125F0" w:rsidRPr="0091446F" w:rsidRDefault="00B125F0" w:rsidP="00B125F0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Zasilacz o mocy min. 65W. </w:t>
            </w:r>
          </w:p>
          <w:p w14:paraId="60CD68AD" w14:textId="172EB87E" w:rsidR="005E40A4" w:rsidRPr="0091446F" w:rsidRDefault="002F73FD" w:rsidP="00B125F0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</w:tr>
      <w:tr w:rsidR="00571E2F" w:rsidRPr="00913E10" w14:paraId="142AF6B4" w14:textId="77777777" w:rsidTr="00F159E6">
        <w:trPr>
          <w:trHeight w:val="7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F820" w14:textId="10750246" w:rsidR="00571E2F" w:rsidRPr="00913E10" w:rsidRDefault="00571E2F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6FD" w14:textId="1E10E53E" w:rsidR="00571E2F" w:rsidRPr="0091446F" w:rsidRDefault="00571E2F" w:rsidP="00571E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Obudowa notebooka wzmocniona, szkielet i zawiasy notebooka wykonany z</w:t>
            </w:r>
            <w:r w:rsidR="009144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wzmacnianego metalu.</w:t>
            </w:r>
          </w:p>
        </w:tc>
      </w:tr>
      <w:tr w:rsidR="00C85915" w:rsidRPr="00913E10" w14:paraId="33C17CC6" w14:textId="77777777" w:rsidTr="00F159E6">
        <w:trPr>
          <w:trHeight w:val="7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AD73" w14:textId="75ABA8FF" w:rsidR="00C85915" w:rsidRPr="00913E10" w:rsidRDefault="00C85915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D79C" w14:textId="0EB72321" w:rsidR="00C85915" w:rsidRPr="0091446F" w:rsidRDefault="00C85915" w:rsidP="00571E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Waga urządzenia z akumulatorem max. 2 kg</w:t>
            </w:r>
          </w:p>
        </w:tc>
      </w:tr>
      <w:tr w:rsidR="00571E2F" w:rsidRPr="00913E10" w14:paraId="07E92C42" w14:textId="77777777" w:rsidTr="005A50B1">
        <w:trPr>
          <w:trHeight w:val="28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610B" w14:textId="130FF9F6" w:rsidR="00571E2F" w:rsidRPr="00913E10" w:rsidRDefault="004E2162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074" w14:textId="77777777" w:rsidR="004E2162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BIOS zgodny ze specyfikacją UEFI, pełna obsługa za pomocą klawiatury i myszy.</w:t>
            </w:r>
          </w:p>
          <w:p w14:paraId="6B163A4B" w14:textId="77777777" w:rsidR="004E2162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 typie zainstalowanego procesora, zainstalowanym dysku twardym (pojemność, model), MAC adresie wbudowanej w płytę główną karty sieciowej.</w:t>
            </w:r>
          </w:p>
          <w:p w14:paraId="4EC74C60" w14:textId="4C9B5E73" w:rsidR="004E2162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Funkcja blokowania/odblokowania portów USB</w:t>
            </w:r>
            <w:r w:rsidR="00586945" w:rsidRPr="009144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C9E5E7" w14:textId="77777777" w:rsidR="004E2162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Możliwość, ustawienia hasła dla administratora oraz użytkownika dla </w:t>
            </w:r>
            <w:proofErr w:type="spellStart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BIOS’u</w:t>
            </w:r>
            <w:proofErr w:type="spellEnd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, po podaniu hasła użytkownika możliwość jedynie odczytania informacji, brak możliwości </w:t>
            </w:r>
            <w:proofErr w:type="spellStart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wł</w:t>
            </w:r>
            <w:proofErr w:type="spellEnd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/wy funkcji. Hasła silne opatrzone o litery, cyfry i znaki specjalne.</w:t>
            </w:r>
          </w:p>
          <w:p w14:paraId="2C45AC21" w14:textId="32859F64" w:rsidR="00571E2F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Możliwość przypisania w BIOS numeru nadawanego przez Administratora.</w:t>
            </w:r>
          </w:p>
        </w:tc>
      </w:tr>
      <w:tr w:rsidR="004E2162" w:rsidRPr="00913E10" w14:paraId="5BCAD3AD" w14:textId="77777777" w:rsidTr="00DF1567">
        <w:trPr>
          <w:trHeight w:val="24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A43" w14:textId="4527B2FB" w:rsidR="004E2162" w:rsidRPr="00913E10" w:rsidRDefault="004E2162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DF7" w14:textId="265A95EE" w:rsidR="004E2162" w:rsidRPr="0023341B" w:rsidRDefault="004E2162" w:rsidP="004E2162">
            <w:pPr>
              <w:jc w:val="both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System diagnostyczny z graficzny</w:t>
            </w:r>
            <w:r w:rsidR="00E572EE"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m</w:t>
            </w:r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 xml:space="preserve"> interfejsem dostępny z poziomu BIOS lub menu </w:t>
            </w:r>
            <w:proofErr w:type="spellStart"/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BOOT’owania</w:t>
            </w:r>
            <w:proofErr w:type="spellEnd"/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 xml:space="preserve"> umożliwiający użytkownikowi przeprowadzenie wstępnej diagnostyki awarii poprzez przetestowanie: procesora, pamięci RAM, dysku, płyty głównej i</w:t>
            </w:r>
            <w:r w:rsidR="0091446F"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 </w:t>
            </w:r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 xml:space="preserve">wyświetlacza. Pełna funkcjonalność systemu diagnostycznego musi być dostępna również w przypadku braku lub uszkodzenia oraz sformatowania dysku twardego, braku dostępu do sieci LAN i </w:t>
            </w:r>
            <w:proofErr w:type="spellStart"/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internetu</w:t>
            </w:r>
            <w:proofErr w:type="spellEnd"/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 xml:space="preserve"> oraz nie może być realizowana przez narzędzia zewnętrzne podłączane do komputera (np. pamięć USB </w:t>
            </w:r>
            <w:proofErr w:type="spellStart"/>
            <w:r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flash</w:t>
            </w:r>
            <w:proofErr w:type="spellEnd"/>
            <w:r w:rsidR="00B55603" w:rsidRPr="0023341B"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  <w:t>).</w:t>
            </w:r>
          </w:p>
          <w:p w14:paraId="08C146B0" w14:textId="77777777" w:rsidR="004E2162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Dedykowany układ szyfrujący TPM 2.0 </w:t>
            </w:r>
          </w:p>
          <w:p w14:paraId="379B4C4C" w14:textId="79C18C20" w:rsidR="004E2162" w:rsidRPr="0091446F" w:rsidRDefault="004E2162" w:rsidP="004E21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Złącze na linkę zabezpieczającą przed kradzieżą.</w:t>
            </w:r>
          </w:p>
        </w:tc>
      </w:tr>
      <w:tr w:rsidR="00DF1567" w:rsidRPr="00913E10" w14:paraId="274AF120" w14:textId="77777777" w:rsidTr="00DF1567">
        <w:trPr>
          <w:trHeight w:val="17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9B3E" w14:textId="526EB79C" w:rsidR="00DF1567" w:rsidRPr="00913E10" w:rsidRDefault="00DF1567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357" w14:textId="77777777" w:rsidR="00DF1567" w:rsidRPr="0091446F" w:rsidRDefault="00DF1567" w:rsidP="00DF15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Certyfikat ISO 9001 dla producenta sprzętu (załączyć do oferty)</w:t>
            </w:r>
          </w:p>
          <w:p w14:paraId="3FECF187" w14:textId="77777777" w:rsidR="00DF1567" w:rsidRPr="0091446F" w:rsidRDefault="00DF1567" w:rsidP="00DF15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Certyfikat ISO 50001 dla producenta sprzętu (załączyć do oferty)</w:t>
            </w:r>
          </w:p>
          <w:p w14:paraId="7FFAA879" w14:textId="77777777" w:rsidR="00DF1567" w:rsidRPr="0091446F" w:rsidRDefault="00DF1567" w:rsidP="00DF15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Deklaracja zgodności CE (załączyć do oferty)</w:t>
            </w:r>
          </w:p>
          <w:p w14:paraId="09883BC6" w14:textId="77777777" w:rsidR="00DF1567" w:rsidRPr="0091446F" w:rsidRDefault="00DF1567" w:rsidP="00DF15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RoHS</w:t>
            </w:r>
            <w:proofErr w:type="spellEnd"/>
            <w:r w:rsidRPr="0091446F">
              <w:rPr>
                <w:rFonts w:asciiTheme="minorHAnsi" w:hAnsiTheme="minorHAnsi" w:cstheme="minorHAnsi"/>
                <w:sz w:val="20"/>
                <w:szCs w:val="20"/>
              </w:rPr>
              <w:t xml:space="preserve"> Unii Europejskiej o eliminacji substancji niebezpiecznych w postaci oświadczenia producenta jednostki.</w:t>
            </w:r>
          </w:p>
          <w:p w14:paraId="25396E58" w14:textId="587C3950" w:rsidR="001D5F00" w:rsidRPr="0091446F" w:rsidRDefault="001D5F00" w:rsidP="00DF15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Certyfikat Energy Star lub TCO dla oferowanego modelu.</w:t>
            </w:r>
          </w:p>
        </w:tc>
      </w:tr>
      <w:tr w:rsidR="00DF1567" w:rsidRPr="00913E10" w14:paraId="1C14C9B8" w14:textId="77777777" w:rsidTr="00E572EE">
        <w:trPr>
          <w:trHeight w:val="3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498" w14:textId="4A8CF023" w:rsidR="00DF1567" w:rsidRPr="00913E10" w:rsidRDefault="00DF1567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System operacyjny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B1B" w14:textId="39A98DE9" w:rsidR="00DF1567" w:rsidRPr="00C85915" w:rsidRDefault="00DF1567" w:rsidP="00DF15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Zainstalowany system operacyjny</w:t>
            </w:r>
            <w:r w:rsidR="00F13F17"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 w polskiej wersji językowej</w:t>
            </w: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 Windows 10 Professional</w:t>
            </w:r>
            <w:r w:rsidR="00A03FD9"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3B46E0" w:rsidRPr="00C85915">
              <w:rPr>
                <w:rFonts w:asciiTheme="minorHAnsi" w:hAnsiTheme="minorHAnsi" w:cstheme="minorHAnsi"/>
                <w:sz w:val="20"/>
                <w:szCs w:val="20"/>
              </w:rPr>
              <w:t>równoważny</w:t>
            </w:r>
            <w:r w:rsidR="003B46E0" w:rsidRPr="00C859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C67F15A" w14:textId="77777777" w:rsidR="00A03FD9" w:rsidRPr="00C85915" w:rsidRDefault="00A03FD9" w:rsidP="00A03FD9">
            <w:pPr>
              <w:pStyle w:val="Akapitzlist"/>
              <w:numPr>
                <w:ilvl w:val="0"/>
                <w:numId w:val="5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nie dopuszcza się licencji oraz nośników pochodzących z rynku wtórnego. </w:t>
            </w:r>
          </w:p>
          <w:p w14:paraId="1C46FD11" w14:textId="0F15A502" w:rsidR="00A03FD9" w:rsidRPr="00C85915" w:rsidRDefault="00A03FD9" w:rsidP="00A03FD9">
            <w:pPr>
              <w:pStyle w:val="Akapitzlist"/>
              <w:numPr>
                <w:ilvl w:val="0"/>
                <w:numId w:val="5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Licencja systemu operacyjnego zaimplementowana w BIOS komputera, umożliwiająca instalację systemu bez podawania klucza oraz bez aktywacji systemu za pośrednictwem Internetu. </w:t>
            </w:r>
          </w:p>
          <w:p w14:paraId="1297FFF4" w14:textId="34363910" w:rsidR="00A03FD9" w:rsidRPr="00C85915" w:rsidRDefault="00A03FD9" w:rsidP="00C671BE">
            <w:pPr>
              <w:pStyle w:val="Akapitzlist"/>
              <w:numPr>
                <w:ilvl w:val="0"/>
                <w:numId w:val="5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</w:t>
            </w:r>
          </w:p>
          <w:p w14:paraId="027075D7" w14:textId="7EC72CFB" w:rsidR="00A03FD9" w:rsidRPr="00C85915" w:rsidRDefault="00A03FD9" w:rsidP="00A03FD9">
            <w:pPr>
              <w:pStyle w:val="Akapitzlist"/>
              <w:numPr>
                <w:ilvl w:val="0"/>
                <w:numId w:val="5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Nie dopuszcza się licencji edukacyjnej.</w:t>
            </w:r>
          </w:p>
          <w:p w14:paraId="3A1588E7" w14:textId="77777777" w:rsidR="00276D7E" w:rsidRPr="00C85915" w:rsidRDefault="00276D7E" w:rsidP="00276D7E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92B74" w14:textId="77777777" w:rsidR="00276D7E" w:rsidRPr="00C85915" w:rsidRDefault="00276D7E" w:rsidP="00676181">
            <w:pPr>
              <w:ind w:lef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System Operacyjny musi być fabrycznie zainstalowany, aktywowany i wstępnie skonfigurowany – gotowy do pierwszego użycia od razu po uruchomieniu komputera.</w:t>
            </w:r>
            <w:r w:rsidR="00676181"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Dostawca oświadcza, że dostarczone licencje na system operacyjny wraz z atrybutami</w:t>
            </w:r>
            <w:r w:rsidR="00676181" w:rsidRPr="00C85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legalności są oryginalne.</w:t>
            </w:r>
          </w:p>
          <w:p w14:paraId="246B428F" w14:textId="77777777" w:rsidR="003B46E0" w:rsidRPr="00C85915" w:rsidRDefault="003B46E0" w:rsidP="003B46E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657CF" w14:textId="0F220362" w:rsidR="003B46E0" w:rsidRPr="00C85915" w:rsidRDefault="003B46E0" w:rsidP="003B46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* </w:t>
            </w: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Oprogramowanie równoważne musi spełniać poniższe warunki:</w:t>
            </w:r>
          </w:p>
          <w:p w14:paraId="5E2357A5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System operacyjny dla komputerów z graficznym interfejsem użytkownika,</w:t>
            </w:r>
          </w:p>
          <w:p w14:paraId="0CE63EAB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System operacyjny ma pozwalać na uruchomienie i pracę z MS Office 20XX,</w:t>
            </w:r>
          </w:p>
          <w:p w14:paraId="77FEE4E8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System ma udostępniać dwa rodzaje graficznego interfejsu użytkownika:</w:t>
            </w:r>
          </w:p>
          <w:p w14:paraId="08A0A0BB" w14:textId="77777777" w:rsidR="003B46E0" w:rsidRPr="00C85915" w:rsidRDefault="003B46E0" w:rsidP="003B46E0">
            <w:pPr>
              <w:pStyle w:val="Akapitzlist"/>
              <w:widowControl/>
              <w:numPr>
                <w:ilvl w:val="1"/>
                <w:numId w:val="10"/>
              </w:numPr>
              <w:autoSpaceDE/>
              <w:autoSpaceDN/>
              <w:spacing w:after="160" w:line="259" w:lineRule="auto"/>
              <w:ind w:left="741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Klasyczny, umożliwiający obsługę przy pomocy klawiatury i myszy</w:t>
            </w:r>
          </w:p>
          <w:p w14:paraId="1542D092" w14:textId="77777777" w:rsidR="003B46E0" w:rsidRPr="00C85915" w:rsidRDefault="003B46E0" w:rsidP="003B46E0">
            <w:pPr>
              <w:pStyle w:val="Akapitzlist"/>
              <w:widowControl/>
              <w:numPr>
                <w:ilvl w:val="1"/>
                <w:numId w:val="10"/>
              </w:numPr>
              <w:autoSpaceDE/>
              <w:autoSpaceDN/>
              <w:spacing w:after="160" w:line="259" w:lineRule="auto"/>
              <w:ind w:left="741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Dotykowy umożliwiający sterowanie dotykiem na urządzeniach typu tablet lub monitorach dotykowych,</w:t>
            </w:r>
          </w:p>
          <w:p w14:paraId="3F483214" w14:textId="1B860315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Interfejsy użytkownika dostępne w wielu językach do wyboru – w tym polskim i</w:t>
            </w:r>
            <w:r w:rsidR="009144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4FB5F637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Zlokalizowane w języku polskim, co najmniej następujące elementy: menu, odtwarzacz multimediów, pomoc, komunikaty systemowe,</w:t>
            </w:r>
          </w:p>
          <w:p w14:paraId="12B38ABA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Wbudowany system pomocy w języku polskim,</w:t>
            </w:r>
          </w:p>
          <w:p w14:paraId="0CDDC6E2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Graficzne środowisko instalacji i konfiguracji dostępne w języku polskim,</w:t>
            </w:r>
          </w:p>
          <w:p w14:paraId="33238041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  <w:p w14:paraId="73FC0145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rFonts w:asciiTheme="minorHAnsi" w:hAnsiTheme="minorHAnsi" w:cstheme="minorHAnsi"/>
                <w:sz w:val="20"/>
                <w:szCs w:val="20"/>
              </w:rPr>
              <w:t>Dostępność bezpłatnych biuletynów bezpieczeństwa związanych z działaniem systemu operacyjnego,</w:t>
            </w:r>
          </w:p>
          <w:p w14:paraId="25C9B518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Wbudowana zapora internetowa (firewall) dla ochrony połączeń internetowych; zintegrowana z systemem konsola do zarządzania ustawieniami zapory i regułami IP v4 i v6;</w:t>
            </w:r>
          </w:p>
          <w:p w14:paraId="46352B77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Wbudowane mechanizmy ochrony antywirusowej i przeciw złośliwemu oprogramowaniu z zapewnionymi bezpłatnymi aktualizacjami,</w:t>
            </w:r>
          </w:p>
          <w:p w14:paraId="00D15498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C85915">
              <w:rPr>
                <w:sz w:val="20"/>
                <w:szCs w:val="20"/>
              </w:rPr>
              <w:t>Plug&amp;Play</w:t>
            </w:r>
            <w:proofErr w:type="spellEnd"/>
            <w:r w:rsidRPr="00C85915">
              <w:rPr>
                <w:sz w:val="20"/>
                <w:szCs w:val="20"/>
              </w:rPr>
              <w:t>, Wi-Fi),</w:t>
            </w:r>
          </w:p>
          <w:p w14:paraId="79A6EEF5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 </w:t>
            </w:r>
          </w:p>
          <w:p w14:paraId="142A1F80" w14:textId="55F4DDB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Zintegrowany z systemem operacyjnym moduł synchronizacji komputera z</w:t>
            </w:r>
            <w:r w:rsidR="0091446F">
              <w:rPr>
                <w:sz w:val="20"/>
                <w:szCs w:val="20"/>
              </w:rPr>
              <w:t> </w:t>
            </w:r>
            <w:r w:rsidRPr="00C85915">
              <w:rPr>
                <w:sz w:val="20"/>
                <w:szCs w:val="20"/>
              </w:rPr>
              <w:t>urządzeniami zewnętrznymi.</w:t>
            </w:r>
          </w:p>
          <w:p w14:paraId="2F071F22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Obsługa standardu NFC (</w:t>
            </w:r>
            <w:proofErr w:type="spellStart"/>
            <w:r w:rsidRPr="00C85915">
              <w:rPr>
                <w:sz w:val="20"/>
                <w:szCs w:val="20"/>
              </w:rPr>
              <w:t>near</w:t>
            </w:r>
            <w:proofErr w:type="spellEnd"/>
            <w:r w:rsidRPr="00C85915">
              <w:rPr>
                <w:sz w:val="20"/>
                <w:szCs w:val="20"/>
              </w:rPr>
              <w:t xml:space="preserve"> field </w:t>
            </w:r>
            <w:proofErr w:type="spellStart"/>
            <w:r w:rsidRPr="00C85915">
              <w:rPr>
                <w:sz w:val="20"/>
                <w:szCs w:val="20"/>
              </w:rPr>
              <w:t>communication</w:t>
            </w:r>
            <w:proofErr w:type="spellEnd"/>
            <w:r w:rsidRPr="00C85915">
              <w:rPr>
                <w:sz w:val="20"/>
                <w:szCs w:val="20"/>
              </w:rPr>
              <w:t>),</w:t>
            </w:r>
          </w:p>
          <w:p w14:paraId="3F422694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lastRenderedPageBreak/>
              <w:t>Możliwość przystosowania stanowiska dla osób niepełnosprawnych (np. słabo widzących);</w:t>
            </w:r>
          </w:p>
          <w:p w14:paraId="67CEE3B0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Wsparcie dla środowisk Java i .NET Framework 4.x – możliwość uruchomienia aplikacji działających we wskazanych środowiskach,</w:t>
            </w:r>
          </w:p>
          <w:p w14:paraId="0701D4AC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 xml:space="preserve">Wsparcie dla JScript i </w:t>
            </w:r>
            <w:proofErr w:type="spellStart"/>
            <w:r w:rsidRPr="00C85915">
              <w:rPr>
                <w:sz w:val="20"/>
                <w:szCs w:val="20"/>
              </w:rPr>
              <w:t>VBScript</w:t>
            </w:r>
            <w:proofErr w:type="spellEnd"/>
            <w:r w:rsidRPr="00C85915">
              <w:rPr>
                <w:sz w:val="20"/>
                <w:szCs w:val="20"/>
              </w:rPr>
              <w:t xml:space="preserve"> – możliwość uruchamiania interpretera poleceń,</w:t>
            </w:r>
          </w:p>
          <w:p w14:paraId="6C487604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Oprogramowanie dla tworzenia kopii zapasowych; automatyczne wykonywanie kopii plików z możliwością automatycznego przywrócenia wersji wcześniejszej,</w:t>
            </w:r>
          </w:p>
          <w:p w14:paraId="32E465C0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Możliwość przywracania obrazu plików systemowych do uprzednio zapisanej postaci,</w:t>
            </w:r>
          </w:p>
          <w:p w14:paraId="7F20389C" w14:textId="77777777" w:rsidR="003B46E0" w:rsidRPr="00C85915" w:rsidRDefault="003B46E0" w:rsidP="003B46E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>Mechanizm szyfrowania dysków wewnętrznych i zewnętrznych z możliwością szyfrowania ograniczonego do danych użytkownika,</w:t>
            </w:r>
          </w:p>
          <w:p w14:paraId="2CE659EE" w14:textId="457D0579" w:rsidR="003B46E0" w:rsidRPr="00C85915" w:rsidRDefault="003B46E0" w:rsidP="00C85915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5915">
              <w:rPr>
                <w:sz w:val="20"/>
                <w:szCs w:val="20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C85915">
              <w:rPr>
                <w:sz w:val="20"/>
                <w:szCs w:val="20"/>
              </w:rPr>
              <w:t>reinstalacji</w:t>
            </w:r>
            <w:proofErr w:type="spellEnd"/>
            <w:r w:rsidRPr="00C85915">
              <w:rPr>
                <w:sz w:val="20"/>
                <w:szCs w:val="20"/>
              </w:rPr>
              <w:t xml:space="preserve"> systemu</w:t>
            </w:r>
          </w:p>
        </w:tc>
      </w:tr>
      <w:tr w:rsidR="00276D7E" w:rsidRPr="00913E10" w14:paraId="575F2E34" w14:textId="77777777" w:rsidTr="00C85915">
        <w:trPr>
          <w:trHeight w:val="21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50C" w14:textId="331A0EDE" w:rsidR="00276D7E" w:rsidRPr="00913E10" w:rsidRDefault="00276D7E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Oprogramowanie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163D" w14:textId="77777777" w:rsidR="00276D7E" w:rsidRPr="00913E10" w:rsidRDefault="00276D7E" w:rsidP="00276D7E">
            <w:pPr>
              <w:pStyle w:val="Akapitzlist"/>
              <w:numPr>
                <w:ilvl w:val="0"/>
                <w:numId w:val="6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sz w:val="20"/>
                <w:szCs w:val="20"/>
              </w:rPr>
              <w:t>Oprogramowanie producenta oferowanego sprzętu umożliwiające automatyczna weryfikacje i instalację sterowników oraz oprogramowania dołączanego przez producenta w tym również wgranie najnowszej wersji BIOS. Oprogramowanie musi automatycznie łączyć się z centralna bazą sterowników i oprogramowania producenta, sprawdzać dostępne aktualizacje i zapewniać zbiorczą instalację wszystkich sterowników i aplikacji bez ingerencji użytkownika.</w:t>
            </w:r>
          </w:p>
          <w:p w14:paraId="2C586D20" w14:textId="164456A6" w:rsidR="00276D7E" w:rsidRPr="00913E10" w:rsidRDefault="00CD27F9" w:rsidP="00276D7E">
            <w:pPr>
              <w:pStyle w:val="Akapitzlist"/>
              <w:numPr>
                <w:ilvl w:val="0"/>
                <w:numId w:val="6"/>
              </w:numPr>
              <w:ind w:left="4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sz w:val="20"/>
                <w:szCs w:val="20"/>
              </w:rPr>
              <w:t>Wykonawca zainstaluje na komputerze pakiet biurowy zawierający co najmniej edytor tekstu, program do tworzenia prezentacji oraz arkusz kalkulacyjny</w:t>
            </w:r>
          </w:p>
        </w:tc>
      </w:tr>
      <w:tr w:rsidR="002B7CBC" w:rsidRPr="00913E10" w14:paraId="6DDE33EE" w14:textId="77777777" w:rsidTr="00C85915">
        <w:trPr>
          <w:trHeight w:val="270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64C9" w14:textId="5B882CB3" w:rsidR="002B7CBC" w:rsidRPr="00913E10" w:rsidRDefault="002B7CBC" w:rsidP="00D133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</w:t>
            </w:r>
            <w:r w:rsidR="00040AEC"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913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771" w14:textId="4FB33F8D" w:rsidR="002B7CBC" w:rsidRPr="0091446F" w:rsidRDefault="00E572EE" w:rsidP="002B7CB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Min. 2</w:t>
            </w:r>
            <w:r w:rsidR="002B7CBC" w:rsidRPr="0091446F">
              <w:rPr>
                <w:rFonts w:asciiTheme="minorHAnsi" w:hAnsiTheme="minorHAnsi" w:cstheme="minorHAnsi"/>
                <w:sz w:val="20"/>
                <w:szCs w:val="20"/>
              </w:rPr>
              <w:t>-letnia gwarancja producenta świadczona na miejscu u klienta. Czas reakcji serwisu - do końca następnego dnia roboczego. Dedykowany portal producenta do zgłaszania awarii lub usterek, możliwość samodzielnego zamawiania zamiennych komponentów oraz sprawdzenie okresu gwarancji, fabrycznej konfiguracji.</w:t>
            </w:r>
          </w:p>
          <w:p w14:paraId="6275FC20" w14:textId="77777777" w:rsidR="002B7CBC" w:rsidRPr="0091446F" w:rsidRDefault="002B7CBC" w:rsidP="002B7CB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Firma serwisująca musi posiadać ISO 9001: 2015 na świadczenie usług serwisowych oraz posiadać autoryzacje producenta komputera – dokumenty potwierdzające załączyć do oferty.</w:t>
            </w:r>
          </w:p>
          <w:p w14:paraId="0B292BD5" w14:textId="77777777" w:rsidR="002B7CBC" w:rsidRDefault="002B7CBC" w:rsidP="002B7CB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446F">
              <w:rPr>
                <w:rFonts w:asciiTheme="minorHAnsi" w:hAnsiTheme="minorHAnsi" w:cstheme="minorHAnsi"/>
                <w:sz w:val="20"/>
                <w:szCs w:val="20"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  <w:p w14:paraId="323396A7" w14:textId="77777777" w:rsidR="00B04C8C" w:rsidRPr="00B04C8C" w:rsidRDefault="00B04C8C" w:rsidP="00B04C8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04C8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przypadku problemów z uzyskaniem oświadczenia producenta potwierdzającym warunki gwarancji, zamawiający dopuszcza jego brak, jednakże zamawiający zastrzega sobie prawo weryfikacji numerów seryjnych dostarczanych urządzeń na stronie producenta w celu sprawdzenia, że dostarczony sprzęt posiada na dzień dostawy/sprzedaży odpowiedni wymagany poziom gwarancji oferowany przez producenta danego urządzenia. W przypadku braku informacji o zarejestrowanym wsparciu serwisowym producenta na sprawdzanych urządzeniach - urządzenia jednoznacznie nie będą spełniały wymagań zapytania.</w:t>
            </w:r>
          </w:p>
          <w:p w14:paraId="052169A3" w14:textId="663B473F" w:rsidR="00B04C8C" w:rsidRPr="0091446F" w:rsidRDefault="00B04C8C" w:rsidP="002B7CB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713EC9" w14:textId="77777777" w:rsidR="00BB0808" w:rsidRPr="00913E10" w:rsidRDefault="00000000">
      <w:pPr>
        <w:rPr>
          <w:rFonts w:asciiTheme="minorHAnsi" w:hAnsiTheme="minorHAnsi" w:cstheme="minorHAnsi"/>
          <w:sz w:val="20"/>
          <w:szCs w:val="20"/>
        </w:rPr>
      </w:pPr>
    </w:p>
    <w:sectPr w:rsidR="00BB0808" w:rsidRPr="00913E10" w:rsidSect="003E0AC9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E0F0" w14:textId="77777777" w:rsidR="002B3D30" w:rsidRDefault="002B3D30" w:rsidP="00264245">
      <w:r>
        <w:separator/>
      </w:r>
    </w:p>
  </w:endnote>
  <w:endnote w:type="continuationSeparator" w:id="0">
    <w:p w14:paraId="42980B6F" w14:textId="77777777" w:rsidR="002B3D30" w:rsidRDefault="002B3D30" w:rsidP="0026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0D4B" w14:textId="77777777" w:rsidR="002B3D30" w:rsidRDefault="002B3D30" w:rsidP="00264245">
      <w:r>
        <w:separator/>
      </w:r>
    </w:p>
  </w:footnote>
  <w:footnote w:type="continuationSeparator" w:id="0">
    <w:p w14:paraId="28E1E79B" w14:textId="77777777" w:rsidR="002B3D30" w:rsidRDefault="002B3D30" w:rsidP="0026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E8EF" w14:textId="3EBE3554" w:rsidR="00264245" w:rsidRDefault="00264245">
    <w:pPr>
      <w:pStyle w:val="Nagwek"/>
    </w:pPr>
    <w:r>
      <w:rPr>
        <w:noProof/>
      </w:rPr>
      <w:drawing>
        <wp:inline distT="0" distB="0" distL="0" distR="0" wp14:anchorId="2210AFDC" wp14:editId="75374450">
          <wp:extent cx="5695950" cy="1190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190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6160"/>
    <w:multiLevelType w:val="hybridMultilevel"/>
    <w:tmpl w:val="5B46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780"/>
    <w:multiLevelType w:val="hybridMultilevel"/>
    <w:tmpl w:val="711CDD66"/>
    <w:lvl w:ilvl="0" w:tplc="48F8D8F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2FD4"/>
    <w:multiLevelType w:val="hybridMultilevel"/>
    <w:tmpl w:val="1E4C97C0"/>
    <w:lvl w:ilvl="0" w:tplc="1C7E5388">
      <w:start w:val="23"/>
      <w:numFmt w:val="bullet"/>
      <w:lvlText w:val=""/>
      <w:lvlJc w:val="left"/>
      <w:pPr>
        <w:ind w:left="461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 w15:restartNumberingAfterBreak="0">
    <w:nsid w:val="58FA2F78"/>
    <w:multiLevelType w:val="hybridMultilevel"/>
    <w:tmpl w:val="647A01D0"/>
    <w:lvl w:ilvl="0" w:tplc="36FCC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6406F"/>
    <w:multiLevelType w:val="hybridMultilevel"/>
    <w:tmpl w:val="3856973E"/>
    <w:lvl w:ilvl="0" w:tplc="36FCC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361A7"/>
    <w:multiLevelType w:val="hybridMultilevel"/>
    <w:tmpl w:val="D1BA4E00"/>
    <w:lvl w:ilvl="0" w:tplc="36FCC65C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71C97E7B"/>
    <w:multiLevelType w:val="hybridMultilevel"/>
    <w:tmpl w:val="74FC7D2A"/>
    <w:lvl w:ilvl="0" w:tplc="CBDA0AA4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A339A"/>
    <w:multiLevelType w:val="hybridMultilevel"/>
    <w:tmpl w:val="D170305A"/>
    <w:lvl w:ilvl="0" w:tplc="36FCC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40C1"/>
    <w:multiLevelType w:val="hybridMultilevel"/>
    <w:tmpl w:val="E4F0570E"/>
    <w:lvl w:ilvl="0" w:tplc="B66CE36C">
      <w:start w:val="1"/>
      <w:numFmt w:val="decimal"/>
      <w:suff w:val="space"/>
      <w:lvlText w:val="%1."/>
      <w:lvlJc w:val="left"/>
      <w:pPr>
        <w:ind w:left="397" w:hanging="170"/>
      </w:pPr>
      <w:rPr>
        <w:rFonts w:hint="default"/>
        <w:sz w:val="18"/>
        <w:szCs w:val="18"/>
      </w:rPr>
    </w:lvl>
    <w:lvl w:ilvl="1" w:tplc="C886609E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460F"/>
    <w:multiLevelType w:val="hybridMultilevel"/>
    <w:tmpl w:val="CB168A5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972665342">
    <w:abstractNumId w:val="0"/>
  </w:num>
  <w:num w:numId="2" w16cid:durableId="200284340">
    <w:abstractNumId w:val="4"/>
  </w:num>
  <w:num w:numId="3" w16cid:durableId="1479683758">
    <w:abstractNumId w:val="9"/>
  </w:num>
  <w:num w:numId="4" w16cid:durableId="547230556">
    <w:abstractNumId w:val="5"/>
  </w:num>
  <w:num w:numId="5" w16cid:durableId="316350191">
    <w:abstractNumId w:val="7"/>
  </w:num>
  <w:num w:numId="6" w16cid:durableId="204800175">
    <w:abstractNumId w:val="3"/>
  </w:num>
  <w:num w:numId="7" w16cid:durableId="300621869">
    <w:abstractNumId w:val="2"/>
  </w:num>
  <w:num w:numId="8" w16cid:durableId="639192840">
    <w:abstractNumId w:val="1"/>
  </w:num>
  <w:num w:numId="9" w16cid:durableId="1387922167">
    <w:abstractNumId w:val="6"/>
  </w:num>
  <w:num w:numId="10" w16cid:durableId="888692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A0"/>
    <w:rsid w:val="00015AE3"/>
    <w:rsid w:val="00040AEC"/>
    <w:rsid w:val="00092ECE"/>
    <w:rsid w:val="000A6890"/>
    <w:rsid w:val="000E062C"/>
    <w:rsid w:val="000E7E87"/>
    <w:rsid w:val="000F275F"/>
    <w:rsid w:val="001D4717"/>
    <w:rsid w:val="001D5F00"/>
    <w:rsid w:val="001E0736"/>
    <w:rsid w:val="00213221"/>
    <w:rsid w:val="0023341B"/>
    <w:rsid w:val="00264245"/>
    <w:rsid w:val="00276D7E"/>
    <w:rsid w:val="002822A0"/>
    <w:rsid w:val="002923DB"/>
    <w:rsid w:val="00292843"/>
    <w:rsid w:val="002B3D30"/>
    <w:rsid w:val="002B7CBC"/>
    <w:rsid w:val="002D0758"/>
    <w:rsid w:val="002F73FD"/>
    <w:rsid w:val="00307493"/>
    <w:rsid w:val="00362C83"/>
    <w:rsid w:val="003B46E0"/>
    <w:rsid w:val="003E0AC9"/>
    <w:rsid w:val="0041241A"/>
    <w:rsid w:val="004149F8"/>
    <w:rsid w:val="0046307A"/>
    <w:rsid w:val="004E2162"/>
    <w:rsid w:val="00514B72"/>
    <w:rsid w:val="00542C35"/>
    <w:rsid w:val="005448E7"/>
    <w:rsid w:val="00553588"/>
    <w:rsid w:val="00571E2F"/>
    <w:rsid w:val="00586945"/>
    <w:rsid w:val="005A50B1"/>
    <w:rsid w:val="005A5922"/>
    <w:rsid w:val="005E40A4"/>
    <w:rsid w:val="00605BD8"/>
    <w:rsid w:val="00655873"/>
    <w:rsid w:val="00676181"/>
    <w:rsid w:val="006B4BD7"/>
    <w:rsid w:val="006B7A02"/>
    <w:rsid w:val="0076366D"/>
    <w:rsid w:val="007A30D8"/>
    <w:rsid w:val="007D2743"/>
    <w:rsid w:val="008030CA"/>
    <w:rsid w:val="0084332B"/>
    <w:rsid w:val="00851A78"/>
    <w:rsid w:val="00854DFE"/>
    <w:rsid w:val="008572CC"/>
    <w:rsid w:val="008646F3"/>
    <w:rsid w:val="008E3D71"/>
    <w:rsid w:val="008E6B7F"/>
    <w:rsid w:val="00913E10"/>
    <w:rsid w:val="0091446F"/>
    <w:rsid w:val="0091531B"/>
    <w:rsid w:val="00961E06"/>
    <w:rsid w:val="009E00A5"/>
    <w:rsid w:val="00A03FD9"/>
    <w:rsid w:val="00A3644C"/>
    <w:rsid w:val="00A65F78"/>
    <w:rsid w:val="00A71EDF"/>
    <w:rsid w:val="00AC2700"/>
    <w:rsid w:val="00B04C8C"/>
    <w:rsid w:val="00B111A2"/>
    <w:rsid w:val="00B125F0"/>
    <w:rsid w:val="00B1528A"/>
    <w:rsid w:val="00B55603"/>
    <w:rsid w:val="00B9381E"/>
    <w:rsid w:val="00C207A6"/>
    <w:rsid w:val="00C85915"/>
    <w:rsid w:val="00CA01DC"/>
    <w:rsid w:val="00CD27F9"/>
    <w:rsid w:val="00CD2A06"/>
    <w:rsid w:val="00D13336"/>
    <w:rsid w:val="00D35733"/>
    <w:rsid w:val="00D719F1"/>
    <w:rsid w:val="00DF1567"/>
    <w:rsid w:val="00DF2DCD"/>
    <w:rsid w:val="00E47A02"/>
    <w:rsid w:val="00E5317A"/>
    <w:rsid w:val="00E572EE"/>
    <w:rsid w:val="00E77231"/>
    <w:rsid w:val="00F13F17"/>
    <w:rsid w:val="00F159E6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D830"/>
  <w15:chartTrackingRefBased/>
  <w15:docId w15:val="{EF9FBD67-DB22-491D-947C-2E420ECF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2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822A0"/>
  </w:style>
  <w:style w:type="paragraph" w:styleId="Akapitzlist">
    <w:name w:val="List Paragraph"/>
    <w:basedOn w:val="Normalny"/>
    <w:uiPriority w:val="34"/>
    <w:qFormat/>
    <w:rsid w:val="00E77231"/>
    <w:pPr>
      <w:ind w:left="720"/>
      <w:contextualSpacing/>
    </w:pPr>
  </w:style>
  <w:style w:type="character" w:customStyle="1" w:styleId="fontstyle01">
    <w:name w:val="fontstyle01"/>
    <w:basedOn w:val="Domylnaczcionkaakapitu"/>
    <w:rsid w:val="005A59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42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4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6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45"/>
    <w:rPr>
      <w:rFonts w:ascii="Calibri" w:eastAsia="Calibri" w:hAnsi="Calibri" w:cs="Calibri"/>
    </w:rPr>
  </w:style>
  <w:style w:type="paragraph" w:customStyle="1" w:styleId="Standard">
    <w:name w:val="Standard"/>
    <w:rsid w:val="001E0736"/>
    <w:pPr>
      <w:autoSpaceDN w:val="0"/>
      <w:spacing w:after="113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B470-E8D7-4FAB-9460-9E974918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Paulina Boroszko</cp:lastModifiedBy>
  <cp:revision>3</cp:revision>
  <dcterms:created xsi:type="dcterms:W3CDTF">2022-08-09T12:43:00Z</dcterms:created>
  <dcterms:modified xsi:type="dcterms:W3CDTF">2022-08-09T12:43:00Z</dcterms:modified>
</cp:coreProperties>
</file>