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DDF2" w14:textId="2BFAF8F2" w:rsidR="00F21A95" w:rsidRDefault="00F21A95" w:rsidP="00F21A95">
      <w:pPr>
        <w:pStyle w:val="Tekstpodstawowy"/>
        <w:rPr>
          <w:sz w:val="24"/>
          <w:szCs w:val="24"/>
        </w:rPr>
      </w:pPr>
      <w:r>
        <w:rPr>
          <w:sz w:val="24"/>
          <w:szCs w:val="24"/>
        </w:rPr>
        <w:t>Znak:</w:t>
      </w:r>
      <w:r w:rsidR="002D3F61">
        <w:rPr>
          <w:sz w:val="24"/>
          <w:szCs w:val="24"/>
        </w:rPr>
        <w:t xml:space="preserve"> </w:t>
      </w:r>
      <w:r w:rsidR="002D3F61" w:rsidRPr="002D3F61">
        <w:rPr>
          <w:b/>
          <w:bCs/>
          <w:sz w:val="24"/>
          <w:szCs w:val="24"/>
        </w:rPr>
        <w:t>TB-ZP.271.10.2022</w:t>
      </w:r>
      <w:r>
        <w:rPr>
          <w:sz w:val="24"/>
          <w:szCs w:val="24"/>
        </w:rPr>
        <w:t xml:space="preserve">                                                                         </w:t>
      </w:r>
      <w:r w:rsidR="00FE723D">
        <w:rPr>
          <w:sz w:val="24"/>
          <w:szCs w:val="24"/>
        </w:rPr>
        <w:t xml:space="preserve">  Reszel</w:t>
      </w:r>
      <w:r>
        <w:rPr>
          <w:sz w:val="24"/>
          <w:szCs w:val="24"/>
        </w:rPr>
        <w:t xml:space="preserve">, </w:t>
      </w:r>
      <w:r w:rsidR="002D3F61">
        <w:rPr>
          <w:sz w:val="24"/>
          <w:szCs w:val="24"/>
        </w:rPr>
        <w:t>19</w:t>
      </w:r>
      <w:r>
        <w:rPr>
          <w:sz w:val="24"/>
          <w:szCs w:val="24"/>
        </w:rPr>
        <w:t>.</w:t>
      </w:r>
      <w:r w:rsidR="002D3F61">
        <w:rPr>
          <w:sz w:val="24"/>
          <w:szCs w:val="24"/>
        </w:rPr>
        <w:t>04</w:t>
      </w:r>
      <w:r>
        <w:rPr>
          <w:sz w:val="24"/>
          <w:szCs w:val="24"/>
        </w:rPr>
        <w:t>.202</w:t>
      </w:r>
      <w:r w:rsidR="002D3F61">
        <w:rPr>
          <w:sz w:val="24"/>
          <w:szCs w:val="24"/>
        </w:rPr>
        <w:t>2</w:t>
      </w:r>
      <w:r>
        <w:rPr>
          <w:sz w:val="24"/>
          <w:szCs w:val="24"/>
        </w:rPr>
        <w:t xml:space="preserve"> r.</w:t>
      </w:r>
    </w:p>
    <w:p w14:paraId="782D931C" w14:textId="1ED89454" w:rsidR="00F21A95" w:rsidRDefault="00F21A95" w:rsidP="00F21A95">
      <w:pPr>
        <w:jc w:val="both"/>
      </w:pPr>
    </w:p>
    <w:p w14:paraId="75BF1149" w14:textId="77777777" w:rsidR="002C03EA" w:rsidRDefault="002C03EA" w:rsidP="00F21A95">
      <w:pPr>
        <w:jc w:val="both"/>
      </w:pPr>
    </w:p>
    <w:p w14:paraId="07717F4E" w14:textId="790D41C5" w:rsidR="00F21A95" w:rsidRPr="003C2128" w:rsidRDefault="00F21A95" w:rsidP="00532EE1">
      <w:pPr>
        <w:pStyle w:val="Tekstpodstawowywcity"/>
        <w:ind w:left="0" w:firstLine="0"/>
        <w:jc w:val="both"/>
      </w:pPr>
      <w:r w:rsidRPr="003C2128">
        <w:t>Dot</w:t>
      </w:r>
      <w:r w:rsidR="00C110EB" w:rsidRPr="003C2128">
        <w:t>yczy:</w:t>
      </w:r>
      <w:r w:rsidR="002D3F61" w:rsidRPr="003C2128">
        <w:t xml:space="preserve"> </w:t>
      </w:r>
      <w:r w:rsidR="002D3F61" w:rsidRPr="003C2128">
        <w:rPr>
          <w:iCs/>
        </w:rPr>
        <w:t>„</w:t>
      </w:r>
      <w:bookmarkStart w:id="0" w:name="_Hlk97722855"/>
      <w:r w:rsidR="002D3F61" w:rsidRPr="003C2128">
        <w:rPr>
          <w:i/>
          <w:iCs/>
        </w:rPr>
        <w:t xml:space="preserve">Budowa sieci kanalizacji sanitarnej i wodociągowej w </w:t>
      </w:r>
      <w:proofErr w:type="spellStart"/>
      <w:r w:rsidR="002D3F61" w:rsidRPr="003C2128">
        <w:rPr>
          <w:i/>
          <w:iCs/>
        </w:rPr>
        <w:t>msc</w:t>
      </w:r>
      <w:proofErr w:type="spellEnd"/>
      <w:r w:rsidR="002D3F61" w:rsidRPr="003C2128">
        <w:rPr>
          <w:i/>
          <w:iCs/>
        </w:rPr>
        <w:t xml:space="preserve">. Klewno wraz </w:t>
      </w:r>
      <w:r w:rsidR="002D3F61" w:rsidRPr="003C2128">
        <w:rPr>
          <w:i/>
          <w:iCs/>
        </w:rPr>
        <w:br/>
        <w:t>z przebudową stacji podnoszenia ciśnienia, Gmina Reszel</w:t>
      </w:r>
      <w:bookmarkEnd w:id="0"/>
      <w:r w:rsidR="002D3F61" w:rsidRPr="003C2128">
        <w:rPr>
          <w:iCs/>
        </w:rPr>
        <w:t>”</w:t>
      </w:r>
    </w:p>
    <w:p w14:paraId="21038380" w14:textId="77777777" w:rsidR="002C03EA" w:rsidRDefault="002C03EA" w:rsidP="00F31095">
      <w:pPr>
        <w:pStyle w:val="Tekstpodstawowy"/>
        <w:spacing w:line="360" w:lineRule="auto"/>
        <w:rPr>
          <w:b/>
          <w:sz w:val="24"/>
          <w:szCs w:val="24"/>
        </w:rPr>
      </w:pPr>
    </w:p>
    <w:p w14:paraId="74BFD02D" w14:textId="27D0217D" w:rsidR="00183A3A" w:rsidRDefault="00183A3A" w:rsidP="00183A3A">
      <w:pPr>
        <w:pStyle w:val="Tekstpodstawowy"/>
        <w:spacing w:line="360" w:lineRule="auto"/>
        <w:jc w:val="center"/>
        <w:rPr>
          <w:b/>
          <w:sz w:val="24"/>
          <w:szCs w:val="24"/>
        </w:rPr>
      </w:pPr>
      <w:r w:rsidRPr="00FC51B2">
        <w:rPr>
          <w:b/>
          <w:sz w:val="24"/>
          <w:szCs w:val="24"/>
        </w:rPr>
        <w:t>ZAWIADOMIENIE</w:t>
      </w:r>
    </w:p>
    <w:p w14:paraId="76A1868F" w14:textId="3FBFB1B2" w:rsidR="00532EE1" w:rsidRDefault="00532EE1" w:rsidP="00183A3A">
      <w:pPr>
        <w:pStyle w:val="Tekstpodstawowy"/>
        <w:spacing w:line="360" w:lineRule="auto"/>
        <w:jc w:val="center"/>
        <w:rPr>
          <w:b/>
          <w:sz w:val="24"/>
          <w:szCs w:val="24"/>
        </w:rPr>
      </w:pPr>
      <w:r>
        <w:rPr>
          <w:b/>
          <w:sz w:val="24"/>
          <w:szCs w:val="24"/>
        </w:rPr>
        <w:t>o unieważnieniu postępowania</w:t>
      </w:r>
    </w:p>
    <w:p w14:paraId="3810E2F1" w14:textId="77777777" w:rsidR="00532EE1" w:rsidRPr="00532EE1" w:rsidRDefault="00532EE1" w:rsidP="00183A3A">
      <w:pPr>
        <w:pStyle w:val="Tekstpodstawowy"/>
        <w:spacing w:line="360" w:lineRule="auto"/>
        <w:jc w:val="center"/>
        <w:rPr>
          <w:b/>
          <w:sz w:val="24"/>
          <w:szCs w:val="24"/>
        </w:rPr>
      </w:pPr>
    </w:p>
    <w:p w14:paraId="028EF82A" w14:textId="63C44DE7" w:rsidR="00532EE1" w:rsidRDefault="00532EE1" w:rsidP="00532EE1">
      <w:pPr>
        <w:tabs>
          <w:tab w:val="left" w:pos="567"/>
        </w:tabs>
        <w:spacing w:line="360" w:lineRule="auto"/>
        <w:jc w:val="both"/>
      </w:pPr>
      <w:r>
        <w:tab/>
      </w:r>
      <w:r w:rsidR="00291D19">
        <w:t xml:space="preserve">Zgodnie z dyspozycją art. </w:t>
      </w:r>
      <w:r>
        <w:t xml:space="preserve">260 ustawy z dnia 11 września 2019 r. – Prawo zamówień publicznych (t. j. Dz. U. </w:t>
      </w:r>
      <w:r w:rsidR="00F31095">
        <w:t xml:space="preserve">z 2021 r., poz. 1129 z </w:t>
      </w:r>
      <w:proofErr w:type="spellStart"/>
      <w:r w:rsidR="00F31095">
        <w:t>późn</w:t>
      </w:r>
      <w:proofErr w:type="spellEnd"/>
      <w:r w:rsidR="00F31095">
        <w:t>. zm.) – zwan</w:t>
      </w:r>
      <w:r w:rsidR="00D01FB1">
        <w:t>ą</w:t>
      </w:r>
      <w:r w:rsidR="00F31095">
        <w:t xml:space="preserve"> dalej </w:t>
      </w:r>
      <w:proofErr w:type="spellStart"/>
      <w:r w:rsidR="00F31095">
        <w:t>Pzp</w:t>
      </w:r>
      <w:proofErr w:type="spellEnd"/>
      <w:r w:rsidR="00F31095">
        <w:t xml:space="preserve">, Zamawiający informuje, że unieważnia postępowanie pn.: </w:t>
      </w:r>
      <w:r w:rsidR="00F31095" w:rsidRPr="00EB71B7">
        <w:t>„</w:t>
      </w:r>
      <w:r w:rsidR="00EB71B7" w:rsidRPr="00EB71B7">
        <w:t xml:space="preserve">Budowa sieci kanalizacji sanitarnej </w:t>
      </w:r>
      <w:r w:rsidR="005A7946">
        <w:br/>
      </w:r>
      <w:r w:rsidR="00EB71B7" w:rsidRPr="00EB71B7">
        <w:t xml:space="preserve">i wodociągowej w </w:t>
      </w:r>
      <w:proofErr w:type="spellStart"/>
      <w:r w:rsidR="00EB71B7" w:rsidRPr="00EB71B7">
        <w:t>msc</w:t>
      </w:r>
      <w:proofErr w:type="spellEnd"/>
      <w:r w:rsidR="00EB71B7" w:rsidRPr="00EB71B7">
        <w:t>. Klewno wraz z przebudową stacji podnoszenia ciśnienia, Gmina Reszel</w:t>
      </w:r>
      <w:r w:rsidR="00F31095" w:rsidRPr="00EB71B7">
        <w:t xml:space="preserve">”, </w:t>
      </w:r>
      <w:r w:rsidR="00F31095">
        <w:t xml:space="preserve">prowadzonego w trybie podstawowym zgodnie z art. 275 pkt 1 ustawy </w:t>
      </w:r>
      <w:proofErr w:type="spellStart"/>
      <w:r w:rsidR="00F31095">
        <w:t>Pzp</w:t>
      </w:r>
      <w:proofErr w:type="spellEnd"/>
      <w:r w:rsidR="00F31095">
        <w:t>.</w:t>
      </w:r>
    </w:p>
    <w:p w14:paraId="5793BBEA" w14:textId="599CD6A0" w:rsidR="00F31095" w:rsidRDefault="00F31095" w:rsidP="00532EE1">
      <w:pPr>
        <w:tabs>
          <w:tab w:val="left" w:pos="567"/>
        </w:tabs>
        <w:spacing w:line="360" w:lineRule="auto"/>
        <w:jc w:val="both"/>
      </w:pPr>
    </w:p>
    <w:p w14:paraId="70E29110" w14:textId="43A320F4" w:rsidR="00F31095" w:rsidRPr="00F31095" w:rsidRDefault="00F31095" w:rsidP="00F31095">
      <w:pPr>
        <w:tabs>
          <w:tab w:val="left" w:pos="567"/>
        </w:tabs>
        <w:spacing w:line="360" w:lineRule="auto"/>
        <w:jc w:val="center"/>
        <w:rPr>
          <w:b/>
          <w:bCs/>
        </w:rPr>
      </w:pPr>
      <w:r w:rsidRPr="00F31095">
        <w:rPr>
          <w:b/>
          <w:bCs/>
        </w:rPr>
        <w:t>Uzasadnienie prawne</w:t>
      </w:r>
    </w:p>
    <w:p w14:paraId="5B5B0D9D" w14:textId="1AA835B1" w:rsidR="00532EE1" w:rsidRDefault="00F31095" w:rsidP="00F31095">
      <w:pPr>
        <w:tabs>
          <w:tab w:val="left" w:pos="567"/>
        </w:tabs>
        <w:spacing w:line="360" w:lineRule="auto"/>
        <w:jc w:val="both"/>
      </w:pPr>
      <w:r>
        <w:tab/>
        <w:t xml:space="preserve">Zgodnie z art. 255 pkt </w:t>
      </w:r>
      <w:r w:rsidR="0090465C">
        <w:t>6</w:t>
      </w:r>
      <w:r>
        <w:t xml:space="preserve">) ustawy </w:t>
      </w:r>
      <w:proofErr w:type="spellStart"/>
      <w:r>
        <w:t>Pzp</w:t>
      </w:r>
      <w:proofErr w:type="spellEnd"/>
      <w:r>
        <w:t xml:space="preserve">, Zamawiający unieważnia postępowanie </w:t>
      </w:r>
      <w:r>
        <w:br/>
        <w:t>o udzielenie zamówienia</w:t>
      </w:r>
      <w:r w:rsidR="00CD023A">
        <w:t xml:space="preserve">, jeżeli </w:t>
      </w:r>
      <w:r w:rsidR="0090465C">
        <w:t xml:space="preserve">postępowanie obarczone jest niemożliwą do usunięcia wadą uniemożliwiającą zawarcie niepodlegającej </w:t>
      </w:r>
      <w:r w:rsidR="00CE09E1">
        <w:t>unieważnieniu umowy w sprawie zamówienia publicznego.</w:t>
      </w:r>
    </w:p>
    <w:p w14:paraId="4C87EE5A" w14:textId="15CFCA5D" w:rsidR="00CD023A" w:rsidRDefault="00CD023A" w:rsidP="00F31095">
      <w:pPr>
        <w:tabs>
          <w:tab w:val="left" w:pos="567"/>
        </w:tabs>
        <w:spacing w:line="360" w:lineRule="auto"/>
        <w:jc w:val="both"/>
      </w:pPr>
    </w:p>
    <w:p w14:paraId="4FE746B7" w14:textId="38357516" w:rsidR="00492C1C" w:rsidRPr="00492C1C" w:rsidRDefault="00CD023A" w:rsidP="00503414">
      <w:pPr>
        <w:tabs>
          <w:tab w:val="left" w:pos="567"/>
        </w:tabs>
        <w:spacing w:line="360" w:lineRule="auto"/>
        <w:jc w:val="center"/>
        <w:rPr>
          <w:b/>
          <w:bCs/>
        </w:rPr>
      </w:pPr>
      <w:r w:rsidRPr="00CD023A">
        <w:rPr>
          <w:b/>
          <w:bCs/>
        </w:rPr>
        <w:t>Uzasadnienie faktyczne</w:t>
      </w:r>
    </w:p>
    <w:p w14:paraId="7690B3DE" w14:textId="57179778" w:rsidR="00492C1C" w:rsidRPr="00492C1C" w:rsidRDefault="00492C1C" w:rsidP="00492C1C">
      <w:pPr>
        <w:tabs>
          <w:tab w:val="left" w:pos="567"/>
        </w:tabs>
        <w:spacing w:line="360" w:lineRule="auto"/>
        <w:jc w:val="both"/>
      </w:pPr>
      <w:r w:rsidRPr="00492C1C">
        <w:tab/>
      </w:r>
      <w:r w:rsidR="0036298F" w:rsidRPr="00492C1C">
        <w:t>Zamawiający</w:t>
      </w:r>
      <w:r w:rsidR="004B5A7F">
        <w:t>,</w:t>
      </w:r>
      <w:r w:rsidR="0036298F" w:rsidRPr="0036298F">
        <w:t xml:space="preserve"> </w:t>
      </w:r>
      <w:r w:rsidR="0036298F">
        <w:t>w</w:t>
      </w:r>
      <w:r w:rsidR="004A55C3" w:rsidRPr="004A55C3">
        <w:t xml:space="preserve"> ramach prowadzonego postępowania</w:t>
      </w:r>
      <w:r w:rsidR="004B5A7F">
        <w:t>,</w:t>
      </w:r>
      <w:r w:rsidR="004A55C3" w:rsidRPr="004A55C3">
        <w:t xml:space="preserve"> </w:t>
      </w:r>
      <w:r w:rsidR="004A55C3">
        <w:t>w</w:t>
      </w:r>
      <w:r w:rsidRPr="00492C1C">
        <w:t xml:space="preserve"> dniu 14.03.2022 r. ogłosił </w:t>
      </w:r>
      <w:r w:rsidR="0036298F">
        <w:br/>
      </w:r>
      <w:r w:rsidRPr="00492C1C">
        <w:t xml:space="preserve">o zamówieniu publicznym oraz wyznaczył termin składania ofert na dzień 30.03.2022 r. </w:t>
      </w:r>
      <w:r w:rsidR="00FF71FE">
        <w:br/>
        <w:t>W</w:t>
      </w:r>
      <w:r w:rsidRPr="00492C1C">
        <w:t xml:space="preserve"> dniu 28.03.2022 r. poinformowano wykonawców o zmianie terminu składania </w:t>
      </w:r>
      <w:r w:rsidR="00C5603F">
        <w:br/>
      </w:r>
      <w:r w:rsidRPr="00492C1C">
        <w:t xml:space="preserve">i otwarcia ofert na dzień 04.04.2022 r. </w:t>
      </w:r>
    </w:p>
    <w:p w14:paraId="2851403D" w14:textId="26C412B9" w:rsidR="00492C1C" w:rsidRPr="00492C1C" w:rsidRDefault="00492C1C" w:rsidP="00492C1C">
      <w:pPr>
        <w:tabs>
          <w:tab w:val="left" w:pos="567"/>
        </w:tabs>
        <w:spacing w:line="360" w:lineRule="auto"/>
        <w:jc w:val="both"/>
      </w:pPr>
      <w:r w:rsidRPr="00492C1C">
        <w:tab/>
      </w:r>
      <w:r w:rsidR="004A55C3">
        <w:t>W</w:t>
      </w:r>
      <w:r w:rsidR="00767A07" w:rsidRPr="00492C1C">
        <w:t xml:space="preserve"> </w:t>
      </w:r>
      <w:r w:rsidR="00767A07" w:rsidRPr="00767A07">
        <w:t>S</w:t>
      </w:r>
      <w:r w:rsidR="00767A07" w:rsidRPr="00492C1C">
        <w:t xml:space="preserve">pecyfikacji </w:t>
      </w:r>
      <w:r w:rsidR="00767A07" w:rsidRPr="00767A07">
        <w:t>W</w:t>
      </w:r>
      <w:r w:rsidR="00767A07" w:rsidRPr="00492C1C">
        <w:t xml:space="preserve">arunków </w:t>
      </w:r>
      <w:r w:rsidR="00767A07" w:rsidRPr="00767A07">
        <w:t>Z</w:t>
      </w:r>
      <w:r w:rsidR="00767A07" w:rsidRPr="00492C1C">
        <w:t>amówienia</w:t>
      </w:r>
      <w:r w:rsidR="0037616B" w:rsidRPr="0037616B">
        <w:t xml:space="preserve"> </w:t>
      </w:r>
      <w:r w:rsidR="0037616B">
        <w:t xml:space="preserve">w </w:t>
      </w:r>
      <w:r w:rsidR="0037616B" w:rsidRPr="00492C1C">
        <w:t>pkt VII</w:t>
      </w:r>
      <w:r w:rsidR="00767A07" w:rsidRPr="00767A07">
        <w:t xml:space="preserve"> </w:t>
      </w:r>
      <w:r w:rsidR="004A55C3">
        <w:t xml:space="preserve">Zamawiający </w:t>
      </w:r>
      <w:r w:rsidR="00767A07" w:rsidRPr="00492C1C">
        <w:t>opisał</w:t>
      </w:r>
      <w:r w:rsidR="00767A07" w:rsidRPr="00767A07">
        <w:t xml:space="preserve"> s</w:t>
      </w:r>
      <w:r w:rsidR="00767A07" w:rsidRPr="00492C1C">
        <w:t>posób składania ofert</w:t>
      </w:r>
      <w:r w:rsidR="00767A07" w:rsidRPr="00767A07">
        <w:t>,</w:t>
      </w:r>
      <w:r w:rsidR="00767A07" w:rsidRPr="00492C1C">
        <w:t xml:space="preserve"> zgodnie z którym Wykonawca składa ofertę za pośrednictwem Formularza do złożenia lub wycofania oferty dostępnego na </w:t>
      </w:r>
      <w:proofErr w:type="spellStart"/>
      <w:r w:rsidR="00767A07" w:rsidRPr="00492C1C">
        <w:t>ePUAP</w:t>
      </w:r>
      <w:proofErr w:type="spellEnd"/>
      <w:r w:rsidR="00767A07" w:rsidRPr="00492C1C">
        <w:t xml:space="preserve"> i udostępnionego również na </w:t>
      </w:r>
      <w:proofErr w:type="spellStart"/>
      <w:r w:rsidR="00767A07" w:rsidRPr="00492C1C">
        <w:t>mini</w:t>
      </w:r>
      <w:r w:rsidR="00466ACF">
        <w:t>p</w:t>
      </w:r>
      <w:r w:rsidR="00767A07" w:rsidRPr="00492C1C">
        <w:t>ortalu</w:t>
      </w:r>
      <w:proofErr w:type="spellEnd"/>
      <w:r w:rsidR="00767A07" w:rsidRPr="00492C1C">
        <w:t xml:space="preserve">. Sposób złożenia oferty opisany został w instrukcji użytkownika dostępnej na </w:t>
      </w:r>
      <w:proofErr w:type="spellStart"/>
      <w:r w:rsidR="00767A07" w:rsidRPr="00492C1C">
        <w:t>miniportalu</w:t>
      </w:r>
      <w:proofErr w:type="spellEnd"/>
      <w:r w:rsidR="00767A07" w:rsidRPr="00492C1C">
        <w:t>.</w:t>
      </w:r>
    </w:p>
    <w:p w14:paraId="6E3A9DC5" w14:textId="77777777" w:rsidR="00AB4C8D" w:rsidRDefault="00492C1C" w:rsidP="00492C1C">
      <w:pPr>
        <w:tabs>
          <w:tab w:val="left" w:pos="567"/>
        </w:tabs>
        <w:spacing w:line="360" w:lineRule="auto"/>
        <w:jc w:val="both"/>
      </w:pPr>
      <w:r w:rsidRPr="00492C1C">
        <w:tab/>
        <w:t>W wyznaczonym terminie złożono dwie oferty.</w:t>
      </w:r>
      <w:r w:rsidR="004A55C3">
        <w:t xml:space="preserve"> Oferty zostały przesłane w dniu 01.04.2022 r.</w:t>
      </w:r>
      <w:r w:rsidR="00C5603F">
        <w:t xml:space="preserve"> </w:t>
      </w:r>
    </w:p>
    <w:p w14:paraId="2DE53439" w14:textId="3ABDAC2D" w:rsidR="00BE5E04" w:rsidRDefault="00AB4C8D" w:rsidP="00C4278B">
      <w:pPr>
        <w:tabs>
          <w:tab w:val="left" w:pos="567"/>
        </w:tabs>
        <w:spacing w:line="360" w:lineRule="auto"/>
        <w:jc w:val="both"/>
      </w:pPr>
      <w:r>
        <w:tab/>
      </w:r>
      <w:r w:rsidR="00C5603F">
        <w:t>W dniu</w:t>
      </w:r>
      <w:r w:rsidR="00492C1C" w:rsidRPr="00492C1C">
        <w:t xml:space="preserve"> </w:t>
      </w:r>
      <w:r w:rsidR="00C5603F">
        <w:t>04.04.2022 r., o godz. 8.10</w:t>
      </w:r>
      <w:r>
        <w:t>,</w:t>
      </w:r>
      <w:r w:rsidR="00C5603F">
        <w:t xml:space="preserve"> Zamawiający otrzymał wiadomości e-</w:t>
      </w:r>
      <w:r w:rsidR="00492C1C" w:rsidRPr="00492C1C">
        <w:t>mail, w któr</w:t>
      </w:r>
      <w:r w:rsidR="00C5603F">
        <w:t>ej</w:t>
      </w:r>
      <w:r w:rsidR="00492C1C" w:rsidRPr="00492C1C">
        <w:t xml:space="preserve"> </w:t>
      </w:r>
      <w:r w:rsidR="00C5603F">
        <w:t>jeden z Wykonawców</w:t>
      </w:r>
      <w:r w:rsidR="000A3C76">
        <w:t xml:space="preserve"> – </w:t>
      </w:r>
      <w:r w:rsidR="00C4278B">
        <w:t>firma</w:t>
      </w:r>
      <w:r w:rsidR="000A3C76">
        <w:t>:</w:t>
      </w:r>
      <w:r w:rsidR="00C4278B">
        <w:t xml:space="preserve"> Usługi Koparko – Ładowarką, Budowlane Krzysztof </w:t>
      </w:r>
      <w:proofErr w:type="spellStart"/>
      <w:r w:rsidR="00C4278B">
        <w:t>Sznip</w:t>
      </w:r>
      <w:proofErr w:type="spellEnd"/>
      <w:r w:rsidR="00C4278B">
        <w:t xml:space="preserve">, </w:t>
      </w:r>
      <w:r w:rsidR="00C4278B">
        <w:br/>
        <w:t>ul. Dębowa 2, 11 – 400 Kętrzyn</w:t>
      </w:r>
      <w:r w:rsidR="000A3C76">
        <w:t>,</w:t>
      </w:r>
      <w:r w:rsidR="00C5603F">
        <w:t xml:space="preserve"> poinformował</w:t>
      </w:r>
      <w:r w:rsidR="00492C1C" w:rsidRPr="00492C1C">
        <w:t xml:space="preserve"> o awarii systemu oraz braku możliwości udziału </w:t>
      </w:r>
      <w:r w:rsidR="00C5603F">
        <w:br/>
      </w:r>
      <w:r w:rsidR="00492C1C" w:rsidRPr="00492C1C">
        <w:lastRenderedPageBreak/>
        <w:t xml:space="preserve">w przetargu. </w:t>
      </w:r>
      <w:r w:rsidR="00C5603F">
        <w:t xml:space="preserve">W przesłanej korespondencji Wykonawca przesłał dowód zgłoszenia – Wniosku o usługę nr 2214142, przekazanego do administratora systemu </w:t>
      </w:r>
      <w:proofErr w:type="spellStart"/>
      <w:r w:rsidR="004E442C">
        <w:t>e</w:t>
      </w:r>
      <w:r w:rsidR="00C5603F">
        <w:t>PUAP</w:t>
      </w:r>
      <w:proofErr w:type="spellEnd"/>
      <w:r w:rsidR="00C5603F">
        <w:t>.</w:t>
      </w:r>
      <w:r w:rsidR="00C4278B">
        <w:t xml:space="preserve"> Potwierdzeniem, </w:t>
      </w:r>
      <w:r w:rsidR="000A3C76">
        <w:br/>
      </w:r>
      <w:r w:rsidR="00C4278B">
        <w:t xml:space="preserve">że </w:t>
      </w:r>
      <w:r w:rsidR="000A3C76">
        <w:t xml:space="preserve">firma Usługi Koparko – Ładowarką, Budowlane Krzysztof </w:t>
      </w:r>
      <w:proofErr w:type="spellStart"/>
      <w:r w:rsidR="000A3C76">
        <w:t>Sznip</w:t>
      </w:r>
      <w:proofErr w:type="spellEnd"/>
      <w:r w:rsidR="000A3C76">
        <w:t>, zamierzała wziąć udział w postępowaniu, jest wpłacone w terminie wadium.</w:t>
      </w:r>
    </w:p>
    <w:p w14:paraId="5ECF4760" w14:textId="46682DA4" w:rsidR="00EB3B23" w:rsidRDefault="00EB3B23" w:rsidP="00492C1C">
      <w:pPr>
        <w:tabs>
          <w:tab w:val="left" w:pos="567"/>
        </w:tabs>
        <w:spacing w:line="360" w:lineRule="auto"/>
        <w:jc w:val="both"/>
      </w:pPr>
      <w:r>
        <w:tab/>
        <w:t xml:space="preserve">Zamawiający w dniu </w:t>
      </w:r>
      <w:r w:rsidR="00FB6D9D">
        <w:t xml:space="preserve">13.04.2022 r. zwrócił się do administratora </w:t>
      </w:r>
      <w:proofErr w:type="spellStart"/>
      <w:r w:rsidR="00FB6D9D">
        <w:t>miniportalu</w:t>
      </w:r>
      <w:proofErr w:type="spellEnd"/>
      <w:r w:rsidR="00FB6D9D">
        <w:t xml:space="preserve"> z prośbą </w:t>
      </w:r>
      <w:r w:rsidR="00FB6D9D">
        <w:br/>
        <w:t xml:space="preserve">o wyjaśnienie powyższej sprawy, poprzez podanie okoliczności oraz faktów, które zgłosił jeden z wykonawców. Poproszono administratora </w:t>
      </w:r>
      <w:proofErr w:type="spellStart"/>
      <w:r w:rsidR="00FB6D9D">
        <w:t>miniportalu</w:t>
      </w:r>
      <w:proofErr w:type="spellEnd"/>
      <w:r w:rsidR="00FB6D9D">
        <w:t xml:space="preserve"> o podanie informacji czy w dniu 04.04.2022 r. wystąpiły jakiekolwiek okoliczności uniemożliwiające złożenie oferty. 14.04.2022 r. Zamawiający otrzymał odpowiedź na swój wniosek skierowany do administratora </w:t>
      </w:r>
      <w:proofErr w:type="spellStart"/>
      <w:r w:rsidR="00FB6D9D">
        <w:t>miniportalu</w:t>
      </w:r>
      <w:proofErr w:type="spellEnd"/>
      <w:r w:rsidR="00FB6D9D">
        <w:t>, w której administrator systemu potwierdził, że w dniu 04.04.2022 r. do</w:t>
      </w:r>
      <w:r w:rsidR="00E055E5">
        <w:t xml:space="preserve"> godziny około 10.30 Wykonawcy mieli problem z prawidłowym wypełnieniem formularza do złożenia oferty. Administrator poinformował jednocześnie, że nie było możliwości wpisania nazwy miejscowości, co uniemożliwiało poprawne wypełnienie formularza. </w:t>
      </w:r>
    </w:p>
    <w:p w14:paraId="25ABD6D4" w14:textId="0261BFF1" w:rsidR="000701A8" w:rsidRDefault="000701A8" w:rsidP="00492C1C">
      <w:pPr>
        <w:tabs>
          <w:tab w:val="left" w:pos="567"/>
        </w:tabs>
        <w:spacing w:line="360" w:lineRule="auto"/>
        <w:jc w:val="both"/>
      </w:pPr>
      <w:r>
        <w:tab/>
      </w:r>
      <w:r w:rsidR="00EB0A91">
        <w:t>N</w:t>
      </w:r>
      <w:r w:rsidR="005A2770">
        <w:t>ależy</w:t>
      </w:r>
      <w:r>
        <w:t xml:space="preserve"> </w:t>
      </w:r>
      <w:r w:rsidR="00EB0A91">
        <w:t>w</w:t>
      </w:r>
      <w:r w:rsidR="00EB0A91" w:rsidRPr="00EB0A91">
        <w:t xml:space="preserve"> tym miejscu </w:t>
      </w:r>
      <w:r>
        <w:t>podkreś</w:t>
      </w:r>
      <w:r w:rsidR="005A2770">
        <w:t>lić</w:t>
      </w:r>
      <w:r>
        <w:t xml:space="preserve">, że </w:t>
      </w:r>
      <w:r w:rsidR="00060D83">
        <w:t xml:space="preserve">zgodnie z ustaleniami SWZ </w:t>
      </w:r>
      <w:r>
        <w:t xml:space="preserve">oferty mogły być składane do dnia 04.04.2022 r. </w:t>
      </w:r>
      <w:r w:rsidRPr="005A2770">
        <w:rPr>
          <w:u w:val="single"/>
        </w:rPr>
        <w:t>do godz. 10.00</w:t>
      </w:r>
      <w:r>
        <w:t xml:space="preserve">. </w:t>
      </w:r>
    </w:p>
    <w:p w14:paraId="157E2E9E" w14:textId="7CCF36F1" w:rsidR="00AB4C8D" w:rsidRDefault="00AB4C8D" w:rsidP="00492C1C">
      <w:pPr>
        <w:tabs>
          <w:tab w:val="left" w:pos="567"/>
        </w:tabs>
        <w:spacing w:line="360" w:lineRule="auto"/>
        <w:jc w:val="both"/>
      </w:pPr>
      <w:r>
        <w:tab/>
      </w:r>
      <w:r w:rsidR="00D52096">
        <w:t xml:space="preserve">Zgodnie z art. 64 </w:t>
      </w:r>
      <w:proofErr w:type="spellStart"/>
      <w:r w:rsidR="00D52096">
        <w:t>Pzp</w:t>
      </w:r>
      <w:proofErr w:type="spellEnd"/>
      <w:r w:rsidR="00D52096">
        <w:t xml:space="preserve"> </w:t>
      </w:r>
      <w:r w:rsidR="00D52096" w:rsidRPr="00D11DA7">
        <w:rPr>
          <w:i/>
          <w:iCs/>
        </w:rPr>
        <w:t xml:space="preserve">Zamawiający korzysta, w postępowaniu o udzielenie zamówienia lub w konkursie, tylko z takich narzędzi i urządzeń komunikacji elektronicznej, które są niedyskryminujące, ogólnie dostępne oraz </w:t>
      </w:r>
      <w:proofErr w:type="spellStart"/>
      <w:r w:rsidR="00D52096" w:rsidRPr="00D11DA7">
        <w:rPr>
          <w:i/>
          <w:iCs/>
        </w:rPr>
        <w:t>interoperacyjne</w:t>
      </w:r>
      <w:proofErr w:type="spellEnd"/>
      <w:r w:rsidR="00D52096" w:rsidRPr="00D11DA7">
        <w:rPr>
          <w:i/>
          <w:iCs/>
        </w:rPr>
        <w:t xml:space="preserve"> w rozumieniu ustawy z dnia 17 lutego 2005 r. o informatyzacji działalności podmiotów realizujących zadania publiczne, </w:t>
      </w:r>
      <w:r w:rsidR="00D52096" w:rsidRPr="00D11DA7">
        <w:rPr>
          <w:i/>
          <w:iCs/>
        </w:rPr>
        <w:br/>
        <w:t>z produktami powszechnie używanymi służącymi elektronicznemu przechowywaniu</w:t>
      </w:r>
      <w:r w:rsidR="00D11DA7" w:rsidRPr="00D11DA7">
        <w:rPr>
          <w:i/>
          <w:iCs/>
        </w:rPr>
        <w:t>, przetwarzaniu i przesyłaniu danych, i które nie ograniczają wykonawcom dostępu do postępowania o udzielenie zamówienia lub konkursu</w:t>
      </w:r>
      <w:r w:rsidR="00D11DA7">
        <w:t xml:space="preserve">. </w:t>
      </w:r>
    </w:p>
    <w:p w14:paraId="347BAE91" w14:textId="29894D73" w:rsidR="00EB3B23" w:rsidRPr="00492C1C" w:rsidRDefault="00EB3B23" w:rsidP="00492C1C">
      <w:pPr>
        <w:tabs>
          <w:tab w:val="left" w:pos="567"/>
        </w:tabs>
        <w:spacing w:line="360" w:lineRule="auto"/>
        <w:jc w:val="both"/>
      </w:pPr>
      <w:r>
        <w:tab/>
        <w:t xml:space="preserve">Zgodnie z powyższą regulacją to na </w:t>
      </w:r>
      <w:r w:rsidR="0007659D">
        <w:t>z</w:t>
      </w:r>
      <w:r>
        <w:t xml:space="preserve">amawiającym spoczywa obowiązek, aby udostępnił takie narzędzia wykonawcom ubiegającym się o udzielenie zamówienia i wskazał </w:t>
      </w:r>
      <w:r>
        <w:br/>
        <w:t xml:space="preserve">w dokumentach zamówienia, gdzie można do nich uzyskać dostęp lub skąd je pobrać. To na zamawiającym spoczywa obowiązek zapewnienia narzędzia do elektronicznej komunikacji. Zamawiający ma zapewnić narzędzia, które są ogólnie dostępne, czyli narzędzia, które nie wymagają po stronie wykonawcy poczynienia szczególnych działań w celu złożenia oferty czy wniosków o dopuszczenie do udziału w postępowaniu. </w:t>
      </w:r>
    </w:p>
    <w:p w14:paraId="774F2F55" w14:textId="05A734E9" w:rsidR="00C14E38" w:rsidRDefault="00522570" w:rsidP="00C71970">
      <w:pPr>
        <w:tabs>
          <w:tab w:val="left" w:pos="567"/>
        </w:tabs>
        <w:spacing w:line="360" w:lineRule="auto"/>
        <w:jc w:val="both"/>
      </w:pPr>
      <w:r>
        <w:tab/>
        <w:t xml:space="preserve">Podkreślić należy, iż w świetle naczelnych zasad udzielania zamówień publicznych, tj. zasady jawności i przejrzystości postępowania zamawiający nie może odstąpić od wyjaśnienia przyczyn uniemożliwiających wykonawcom złożenie oferty za pomocą udostępnionego narzędzia, bowiem powyższe ma istotne znaczenie dla przebiegu postępowania o udzielenie </w:t>
      </w:r>
      <w:r>
        <w:lastRenderedPageBreak/>
        <w:t>zamówienia oraz determinuje dalsze czynności zamawiającego w post</w:t>
      </w:r>
      <w:r w:rsidR="009B79AB">
        <w:t>ę</w:t>
      </w:r>
      <w:r>
        <w:t xml:space="preserve">powaniu. Zauważyć należy, iż to gospodarz postępowania o udzielenie zamówienia publicznego, a nie operator platformy, odpowiada za prawidłowy w świetle przepisów ustawy </w:t>
      </w:r>
      <w:proofErr w:type="spellStart"/>
      <w:r>
        <w:t>Pzp</w:t>
      </w:r>
      <w:proofErr w:type="spellEnd"/>
      <w:r>
        <w:t xml:space="preserve"> przebieg postępowania. Tym samym jeśli w wyniku przeprowadzonych czynności wyjaśniających okaże się, iż brak możliwości złożenia oferty spowodowany był problemami technicznymi w infrastrukturze </w:t>
      </w:r>
      <w:r w:rsidR="00240BCE">
        <w:t xml:space="preserve">informatycznej, zamawiający zobowiązany jest do rozważenia zaistnienia przesłanek unieważnienia postępowania o udzielenie zamówienia publicznego, o których mowa w art. 255 pkt 6) </w:t>
      </w:r>
      <w:proofErr w:type="spellStart"/>
      <w:r w:rsidR="00240BCE">
        <w:t>Pzp</w:t>
      </w:r>
      <w:proofErr w:type="spellEnd"/>
      <w:r w:rsidR="00240BCE">
        <w:t>.</w:t>
      </w:r>
    </w:p>
    <w:p w14:paraId="74CA17D7" w14:textId="2475B918" w:rsidR="00DE6FA2" w:rsidRDefault="00DE6FA2" w:rsidP="00C71970">
      <w:pPr>
        <w:tabs>
          <w:tab w:val="left" w:pos="567"/>
        </w:tabs>
        <w:spacing w:line="360" w:lineRule="auto"/>
        <w:jc w:val="both"/>
      </w:pPr>
      <w:r>
        <w:tab/>
        <w:t xml:space="preserve">Ponadto, w świetle ciążącego na zamawiającym obowiązku przygotowania </w:t>
      </w:r>
      <w:r w:rsidR="00910005">
        <w:br/>
      </w:r>
      <w:r>
        <w:t xml:space="preserve">i przeprowadzenia postępowania o udzielenie zamówienia w sposób zapewniający zachowanie uczciwej konkurencji i równe traktowanie wykonawców, zamawiający zobowiązany jest zapewnić możliwość złożenia oferty wszystkim zainteresowanym wykonawcom, w tym poprzez udostępnienie odpowiednich narzędzi i rozwiązań technicznych w taki sposób, </w:t>
      </w:r>
      <w:r>
        <w:br/>
        <w:t xml:space="preserve">by każdy zainteresowany mógł w postępowaniu złożyć ofertę w każdym czasie przewidzianym w SWZ </w:t>
      </w:r>
      <w:r w:rsidR="00D1421B">
        <w:t xml:space="preserve">na jej złożenie. </w:t>
      </w:r>
    </w:p>
    <w:p w14:paraId="40EF112A" w14:textId="5DCE1BB0" w:rsidR="00E66529" w:rsidRDefault="00E66529" w:rsidP="00C71970">
      <w:pPr>
        <w:tabs>
          <w:tab w:val="left" w:pos="567"/>
        </w:tabs>
        <w:spacing w:line="360" w:lineRule="auto"/>
        <w:jc w:val="both"/>
      </w:pPr>
      <w:r>
        <w:tab/>
        <w:t>Powyższe potwierdza wyrok KIO z dnia 14 stycznia 2020 r., sygn. akt.: KIO 2603/19.</w:t>
      </w:r>
    </w:p>
    <w:p w14:paraId="4BB8D834" w14:textId="7F5E0943" w:rsidR="00647084" w:rsidRDefault="009C45BB" w:rsidP="00C71970">
      <w:pPr>
        <w:tabs>
          <w:tab w:val="left" w:pos="567"/>
        </w:tabs>
        <w:spacing w:line="360" w:lineRule="auto"/>
        <w:jc w:val="both"/>
      </w:pPr>
      <w:r>
        <w:t>Ponadto, w wyroku KIO z dnia 4 marca 2019 r. sygn. akt: KIO 268/19</w:t>
      </w:r>
      <w:r w:rsidR="00E766B6">
        <w:t xml:space="preserve"> Izba zaprezentowała stanowisko, iż „nadmierne utrudnienie, czy wręcz uniemożliwienie wykonawcy złożenia oferty, narusza istotę postępowania o udzielenie zamówienia publicznego i stanowi poważną wadę postępowania. Nie musi to być przy tym cel</w:t>
      </w:r>
      <w:r w:rsidR="00647084">
        <w:t xml:space="preserve">owe działanie ze strony zamawiającego ani okoliczność od niego zależna – może wynikać właśnie z powodów technicznych (…). Przy czym kwestie techniczne nie dotyczą jedynie awarii urządzenia, którym posługuje się zamawiający, lecz mogą także wynikać np. z przejściowych błędów oprogramowania, zbyt dużej liczby uczestników jednocześnie korzystających z platformy itp. Istotny jest tu efekt </w:t>
      </w:r>
      <w:r w:rsidR="00EB6D57">
        <w:br/>
      </w:r>
      <w:r w:rsidR="00647084">
        <w:t xml:space="preserve">w postaci niemożności złożenia oferty”. </w:t>
      </w:r>
    </w:p>
    <w:p w14:paraId="424E8F51" w14:textId="1134EE2A" w:rsidR="009824FF" w:rsidRDefault="00647084" w:rsidP="004B01CA">
      <w:pPr>
        <w:tabs>
          <w:tab w:val="left" w:pos="567"/>
        </w:tabs>
        <w:spacing w:line="360" w:lineRule="auto"/>
        <w:jc w:val="both"/>
      </w:pPr>
      <w:r>
        <w:tab/>
        <w:t xml:space="preserve">Wobec powyższego należy uznać, iż uniemożliwienie – wskutek problemów technicznych związanych z </w:t>
      </w:r>
      <w:proofErr w:type="spellStart"/>
      <w:r>
        <w:t>mi</w:t>
      </w:r>
      <w:r w:rsidR="00386DAA">
        <w:t>niportalem</w:t>
      </w:r>
      <w:proofErr w:type="spellEnd"/>
      <w:r w:rsidR="002E74EA">
        <w:t xml:space="preserve"> u</w:t>
      </w:r>
      <w:r w:rsidR="00386DAA">
        <w:t xml:space="preserve"> </w:t>
      </w:r>
      <w:proofErr w:type="spellStart"/>
      <w:r w:rsidR="002E74EA">
        <w:t>e</w:t>
      </w:r>
      <w:r w:rsidR="00386DAA">
        <w:t>PUAP</w:t>
      </w:r>
      <w:proofErr w:type="spellEnd"/>
      <w:r w:rsidR="00386DAA">
        <w:t xml:space="preserve"> – złożenia oferty zainteresowanemu wykonawcy, którego oferta mogła potencjalnie zostać wybrana jako najkorzystniejsza, powoduje obarczenie postępowania niemożliwą do usunięcia wadą uniemożliwiającą zawarcie niepodlegającej unieważnieniu umowy w sprawie zamówienia publicznego. </w:t>
      </w:r>
      <w:r w:rsidR="000E2C53">
        <w:tab/>
      </w:r>
    </w:p>
    <w:p w14:paraId="76AC74BE" w14:textId="7DA59F24" w:rsidR="009824FF" w:rsidRDefault="009824FF" w:rsidP="009824FF">
      <w:pPr>
        <w:tabs>
          <w:tab w:val="left" w:pos="0"/>
        </w:tabs>
        <w:spacing w:line="360" w:lineRule="auto"/>
        <w:jc w:val="both"/>
      </w:pPr>
      <w:r>
        <w:tab/>
        <w:t xml:space="preserve">Zamawiający informuje, że na podstawie art. 262 </w:t>
      </w:r>
      <w:proofErr w:type="spellStart"/>
      <w:r>
        <w:t>Pzp</w:t>
      </w:r>
      <w:proofErr w:type="spellEnd"/>
      <w:r>
        <w:t xml:space="preserve"> Wykonawcy, którzy ubiegali się o udzielenie zamówienia w niniejszym postępowaniu zostaną niezwłocznie powiadomieni </w:t>
      </w:r>
      <w:r>
        <w:br/>
        <w:t>o wszczęciu</w:t>
      </w:r>
      <w:r w:rsidR="000073AD">
        <w:t xml:space="preserve"> kolejnego</w:t>
      </w:r>
      <w:r>
        <w:t xml:space="preserve"> post</w:t>
      </w:r>
      <w:r w:rsidR="000073AD">
        <w:t>ę</w:t>
      </w:r>
      <w:r>
        <w:t xml:space="preserve">powania dotyczącego tego samego przedmiotu zamówienia </w:t>
      </w:r>
      <w:r w:rsidR="000073AD">
        <w:t xml:space="preserve">lub obejmującego ten sam przedmiot zamówienia. </w:t>
      </w:r>
    </w:p>
    <w:p w14:paraId="2B9CADFD" w14:textId="29DD0D97" w:rsidR="000073AD" w:rsidRDefault="000E2C53" w:rsidP="009824FF">
      <w:pPr>
        <w:tabs>
          <w:tab w:val="left" w:pos="0"/>
        </w:tabs>
        <w:spacing w:line="360" w:lineRule="auto"/>
        <w:jc w:val="both"/>
      </w:pPr>
      <w:r>
        <w:lastRenderedPageBreak/>
        <w:tab/>
        <w:t xml:space="preserve">Jednocześnie Zamawiający informuje, że wobec czynności Zamawiającego przysługują Wykonawcom środki ochrony prawnej w terminach i zgodnie z zasadami określonymi w Dziale IX </w:t>
      </w:r>
      <w:proofErr w:type="spellStart"/>
      <w:r>
        <w:t>Pzp</w:t>
      </w:r>
      <w:proofErr w:type="spellEnd"/>
      <w:r>
        <w:t>.</w:t>
      </w:r>
    </w:p>
    <w:p w14:paraId="205F2131" w14:textId="7C890547" w:rsidR="00F74694" w:rsidRDefault="00F74694" w:rsidP="009824FF">
      <w:pPr>
        <w:tabs>
          <w:tab w:val="left" w:pos="0"/>
        </w:tabs>
        <w:spacing w:line="360" w:lineRule="auto"/>
        <w:jc w:val="both"/>
      </w:pPr>
    </w:p>
    <w:p w14:paraId="2F9C62A4" w14:textId="1D80EC25" w:rsidR="00F74694" w:rsidRPr="00F80F1E" w:rsidRDefault="00F74694" w:rsidP="009824FF">
      <w:pPr>
        <w:tabs>
          <w:tab w:val="left" w:pos="0"/>
        </w:tabs>
        <w:spacing w:line="360" w:lineRule="auto"/>
        <w:jc w:val="both"/>
        <w:rPr>
          <w:color w:val="FF0000"/>
        </w:rPr>
      </w:pPr>
    </w:p>
    <w:p w14:paraId="75F0149D" w14:textId="1653CEB0" w:rsidR="00F74694" w:rsidRPr="00F80F1E" w:rsidRDefault="00F74694" w:rsidP="009824FF">
      <w:pPr>
        <w:tabs>
          <w:tab w:val="left" w:pos="0"/>
        </w:tabs>
        <w:spacing w:line="360" w:lineRule="auto"/>
        <w:jc w:val="both"/>
        <w:rPr>
          <w:color w:val="FF0000"/>
        </w:rPr>
      </w:pPr>
    </w:p>
    <w:p w14:paraId="282CEEF6" w14:textId="77777777" w:rsidR="00F74694" w:rsidRPr="00F80F1E" w:rsidRDefault="00F74694" w:rsidP="009824FF">
      <w:pPr>
        <w:tabs>
          <w:tab w:val="left" w:pos="0"/>
        </w:tabs>
        <w:spacing w:line="360" w:lineRule="auto"/>
        <w:jc w:val="both"/>
        <w:rPr>
          <w:color w:val="FF0000"/>
        </w:rPr>
      </w:pPr>
    </w:p>
    <w:p w14:paraId="1DF57651" w14:textId="1651E32B" w:rsidR="000073AD" w:rsidRPr="00F80F1E" w:rsidRDefault="001F7A3E" w:rsidP="001F7A3E">
      <w:pPr>
        <w:tabs>
          <w:tab w:val="left" w:pos="0"/>
        </w:tabs>
        <w:spacing w:line="360" w:lineRule="auto"/>
        <w:ind w:left="3540"/>
        <w:jc w:val="center"/>
        <w:rPr>
          <w:b/>
          <w:bCs/>
          <w:color w:val="FF0000"/>
        </w:rPr>
      </w:pPr>
      <w:r w:rsidRPr="00F80F1E">
        <w:rPr>
          <w:b/>
          <w:bCs/>
          <w:color w:val="FF0000"/>
        </w:rPr>
        <w:t>BURMISTRZ RESZLA</w:t>
      </w:r>
    </w:p>
    <w:p w14:paraId="311265ED" w14:textId="77777777" w:rsidR="00F74694" w:rsidRPr="00F80F1E" w:rsidRDefault="00F74694" w:rsidP="001F7A3E">
      <w:pPr>
        <w:tabs>
          <w:tab w:val="left" w:pos="0"/>
        </w:tabs>
        <w:spacing w:line="360" w:lineRule="auto"/>
        <w:ind w:left="3540"/>
        <w:jc w:val="center"/>
        <w:rPr>
          <w:b/>
          <w:bCs/>
          <w:i/>
          <w:iCs/>
          <w:color w:val="FF0000"/>
        </w:rPr>
      </w:pPr>
    </w:p>
    <w:p w14:paraId="5E84A995" w14:textId="1E7CB402" w:rsidR="001F7A3E" w:rsidRPr="00F80F1E" w:rsidRDefault="001F7A3E" w:rsidP="001F7A3E">
      <w:pPr>
        <w:tabs>
          <w:tab w:val="left" w:pos="0"/>
        </w:tabs>
        <w:spacing w:line="360" w:lineRule="auto"/>
        <w:ind w:left="3540"/>
        <w:jc w:val="center"/>
        <w:rPr>
          <w:b/>
          <w:bCs/>
          <w:i/>
          <w:iCs/>
          <w:color w:val="FF0000"/>
        </w:rPr>
      </w:pPr>
      <w:r w:rsidRPr="00F80F1E">
        <w:rPr>
          <w:b/>
          <w:bCs/>
          <w:i/>
          <w:iCs/>
          <w:color w:val="FF0000"/>
        </w:rPr>
        <w:t>Marek Janisze</w:t>
      </w:r>
      <w:r w:rsidR="00B86E9C" w:rsidRPr="00F80F1E">
        <w:rPr>
          <w:b/>
          <w:bCs/>
          <w:i/>
          <w:iCs/>
          <w:color w:val="FF0000"/>
        </w:rPr>
        <w:t>w</w:t>
      </w:r>
      <w:r w:rsidRPr="00F80F1E">
        <w:rPr>
          <w:b/>
          <w:bCs/>
          <w:i/>
          <w:iCs/>
          <w:color w:val="FF0000"/>
        </w:rPr>
        <w:t>ski</w:t>
      </w:r>
    </w:p>
    <w:p w14:paraId="61E8B777" w14:textId="77777777" w:rsidR="00121F5F" w:rsidRDefault="00121F5F" w:rsidP="009824FF">
      <w:pPr>
        <w:tabs>
          <w:tab w:val="left" w:pos="0"/>
        </w:tabs>
        <w:spacing w:line="360" w:lineRule="auto"/>
        <w:jc w:val="both"/>
      </w:pPr>
    </w:p>
    <w:p w14:paraId="734B9219" w14:textId="46252835" w:rsidR="000073AD" w:rsidRPr="000073AD" w:rsidRDefault="000073AD" w:rsidP="000073AD">
      <w:pPr>
        <w:tabs>
          <w:tab w:val="left" w:pos="0"/>
        </w:tabs>
        <w:contextualSpacing/>
        <w:jc w:val="both"/>
        <w:rPr>
          <w:bCs/>
          <w:sz w:val="20"/>
          <w:szCs w:val="20"/>
        </w:rPr>
      </w:pPr>
      <w:r w:rsidRPr="000073AD">
        <w:rPr>
          <w:bCs/>
          <w:sz w:val="20"/>
          <w:szCs w:val="20"/>
        </w:rPr>
        <w:t>Sporządził:</w:t>
      </w:r>
    </w:p>
    <w:p w14:paraId="67F22820" w14:textId="09B63E7E" w:rsidR="00E80722" w:rsidRPr="000E2C53" w:rsidRDefault="000073AD" w:rsidP="000E2C53">
      <w:pPr>
        <w:tabs>
          <w:tab w:val="left" w:pos="0"/>
        </w:tabs>
        <w:contextualSpacing/>
        <w:jc w:val="both"/>
        <w:rPr>
          <w:bCs/>
          <w:sz w:val="20"/>
          <w:szCs w:val="20"/>
        </w:rPr>
      </w:pPr>
      <w:r w:rsidRPr="000073AD">
        <w:rPr>
          <w:bCs/>
          <w:sz w:val="20"/>
          <w:szCs w:val="20"/>
        </w:rPr>
        <w:t xml:space="preserve">Kamil </w:t>
      </w:r>
      <w:proofErr w:type="spellStart"/>
      <w:r w:rsidRPr="000073AD">
        <w:rPr>
          <w:bCs/>
          <w:sz w:val="20"/>
          <w:szCs w:val="20"/>
        </w:rPr>
        <w:t>Rozberg</w:t>
      </w:r>
      <w:r w:rsidR="002828F6" w:rsidRPr="00C742AC">
        <w:rPr>
          <w:bCs/>
          <w:color w:val="FFFFFF" w:themeColor="background1"/>
        </w:rPr>
        <w:t>RZ</w:t>
      </w:r>
      <w:proofErr w:type="spellEnd"/>
      <w:r w:rsidR="002828F6" w:rsidRPr="00C742AC">
        <w:rPr>
          <w:bCs/>
          <w:color w:val="FFFFFF" w:themeColor="background1"/>
        </w:rPr>
        <w:t xml:space="preserve"> RESZLAMARJANISZEWS</w:t>
      </w:r>
    </w:p>
    <w:sectPr w:rsidR="00E80722" w:rsidRPr="000E2C5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29D5" w14:textId="77777777" w:rsidR="00837623" w:rsidRDefault="00837623" w:rsidP="00837623">
      <w:r>
        <w:separator/>
      </w:r>
    </w:p>
  </w:endnote>
  <w:endnote w:type="continuationSeparator" w:id="0">
    <w:p w14:paraId="736A7B5B" w14:textId="77777777" w:rsidR="00837623" w:rsidRDefault="00837623" w:rsidP="0083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L Bangkok">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105355"/>
      <w:docPartObj>
        <w:docPartGallery w:val="Page Numbers (Bottom of Page)"/>
        <w:docPartUnique/>
      </w:docPartObj>
    </w:sdtPr>
    <w:sdtEndPr/>
    <w:sdtContent>
      <w:p w14:paraId="0F923A5A" w14:textId="4BEB337B" w:rsidR="00837623" w:rsidRDefault="00837623">
        <w:pPr>
          <w:pStyle w:val="Stopka"/>
          <w:jc w:val="right"/>
        </w:pPr>
        <w:r>
          <w:fldChar w:fldCharType="begin"/>
        </w:r>
        <w:r>
          <w:instrText>PAGE   \* MERGEFORMAT</w:instrText>
        </w:r>
        <w:r>
          <w:fldChar w:fldCharType="separate"/>
        </w:r>
        <w:r>
          <w:t>2</w:t>
        </w:r>
        <w:r>
          <w:fldChar w:fldCharType="end"/>
        </w:r>
        <w:r>
          <w:t>/</w:t>
        </w:r>
        <w:r w:rsidR="00D66084">
          <w:t>4</w:t>
        </w:r>
      </w:p>
    </w:sdtContent>
  </w:sdt>
  <w:p w14:paraId="75DAC8B4" w14:textId="77777777" w:rsidR="00837623" w:rsidRDefault="008376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B170" w14:textId="77777777" w:rsidR="00837623" w:rsidRDefault="00837623" w:rsidP="00837623">
      <w:r>
        <w:separator/>
      </w:r>
    </w:p>
  </w:footnote>
  <w:footnote w:type="continuationSeparator" w:id="0">
    <w:p w14:paraId="7AF03D08" w14:textId="77777777" w:rsidR="00837623" w:rsidRDefault="00837623" w:rsidP="00837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2AF6"/>
    <w:multiLevelType w:val="multilevel"/>
    <w:tmpl w:val="C7D27B56"/>
    <w:lvl w:ilvl="0">
      <w:start w:val="2"/>
      <w:numFmt w:val="decimal"/>
      <w:lvlText w:val="%1"/>
      <w:lvlJc w:val="left"/>
      <w:pPr>
        <w:ind w:left="600" w:hanging="600"/>
      </w:pPr>
      <w:rPr>
        <w:rFonts w:hint="default"/>
        <w:b/>
        <w:i w:val="0"/>
      </w:rPr>
    </w:lvl>
    <w:lvl w:ilvl="1">
      <w:start w:val="3"/>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num w:numId="1" w16cid:durableId="49060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2B"/>
    <w:rsid w:val="000073AD"/>
    <w:rsid w:val="00016076"/>
    <w:rsid w:val="00030270"/>
    <w:rsid w:val="00036212"/>
    <w:rsid w:val="00045B75"/>
    <w:rsid w:val="00060D83"/>
    <w:rsid w:val="000641CB"/>
    <w:rsid w:val="000701A8"/>
    <w:rsid w:val="0007659D"/>
    <w:rsid w:val="00080C74"/>
    <w:rsid w:val="0008548F"/>
    <w:rsid w:val="000A3C76"/>
    <w:rsid w:val="000E2C53"/>
    <w:rsid w:val="000E7959"/>
    <w:rsid w:val="000F337D"/>
    <w:rsid w:val="000F4057"/>
    <w:rsid w:val="000F6C9D"/>
    <w:rsid w:val="00110229"/>
    <w:rsid w:val="0011343C"/>
    <w:rsid w:val="00121F5F"/>
    <w:rsid w:val="00164656"/>
    <w:rsid w:val="00183A3A"/>
    <w:rsid w:val="00192211"/>
    <w:rsid w:val="001B7119"/>
    <w:rsid w:val="001C4803"/>
    <w:rsid w:val="001E49C6"/>
    <w:rsid w:val="001F2151"/>
    <w:rsid w:val="001F7A3E"/>
    <w:rsid w:val="0021653A"/>
    <w:rsid w:val="002405CC"/>
    <w:rsid w:val="00240BCE"/>
    <w:rsid w:val="002731B5"/>
    <w:rsid w:val="002828F6"/>
    <w:rsid w:val="00291D19"/>
    <w:rsid w:val="002C03EA"/>
    <w:rsid w:val="002D3F61"/>
    <w:rsid w:val="002E74EA"/>
    <w:rsid w:val="00312A1D"/>
    <w:rsid w:val="0033049D"/>
    <w:rsid w:val="00331AC4"/>
    <w:rsid w:val="00343CA0"/>
    <w:rsid w:val="0036298F"/>
    <w:rsid w:val="003638B8"/>
    <w:rsid w:val="0037616B"/>
    <w:rsid w:val="00386DAA"/>
    <w:rsid w:val="003C2128"/>
    <w:rsid w:val="003D54F3"/>
    <w:rsid w:val="003F1A08"/>
    <w:rsid w:val="00403D69"/>
    <w:rsid w:val="0040541F"/>
    <w:rsid w:val="004270F9"/>
    <w:rsid w:val="00434CA6"/>
    <w:rsid w:val="00466A91"/>
    <w:rsid w:val="00466ACF"/>
    <w:rsid w:val="004876EF"/>
    <w:rsid w:val="004911F1"/>
    <w:rsid w:val="00492C1C"/>
    <w:rsid w:val="00493FB4"/>
    <w:rsid w:val="00494BBA"/>
    <w:rsid w:val="004A55C3"/>
    <w:rsid w:val="004B01CA"/>
    <w:rsid w:val="004B5A7F"/>
    <w:rsid w:val="004E442C"/>
    <w:rsid w:val="00502734"/>
    <w:rsid w:val="00503414"/>
    <w:rsid w:val="00522570"/>
    <w:rsid w:val="00532EE1"/>
    <w:rsid w:val="005449BD"/>
    <w:rsid w:val="0058303F"/>
    <w:rsid w:val="005936D6"/>
    <w:rsid w:val="005A2770"/>
    <w:rsid w:val="005A38FB"/>
    <w:rsid w:val="005A7946"/>
    <w:rsid w:val="005C3475"/>
    <w:rsid w:val="005D4011"/>
    <w:rsid w:val="0060718B"/>
    <w:rsid w:val="00613D81"/>
    <w:rsid w:val="0063791C"/>
    <w:rsid w:val="00647084"/>
    <w:rsid w:val="00684E2A"/>
    <w:rsid w:val="00697382"/>
    <w:rsid w:val="006E1C29"/>
    <w:rsid w:val="006F2CD5"/>
    <w:rsid w:val="00715DEC"/>
    <w:rsid w:val="00740108"/>
    <w:rsid w:val="00756BD2"/>
    <w:rsid w:val="00767A07"/>
    <w:rsid w:val="00777060"/>
    <w:rsid w:val="007A76D0"/>
    <w:rsid w:val="007C247A"/>
    <w:rsid w:val="007D00EA"/>
    <w:rsid w:val="007D7814"/>
    <w:rsid w:val="008228C1"/>
    <w:rsid w:val="00822F2D"/>
    <w:rsid w:val="00837623"/>
    <w:rsid w:val="008426EC"/>
    <w:rsid w:val="00850DF0"/>
    <w:rsid w:val="008C71D1"/>
    <w:rsid w:val="008E678D"/>
    <w:rsid w:val="0090465C"/>
    <w:rsid w:val="00910005"/>
    <w:rsid w:val="009129D0"/>
    <w:rsid w:val="00936DE2"/>
    <w:rsid w:val="00943CF1"/>
    <w:rsid w:val="00946F20"/>
    <w:rsid w:val="009824FF"/>
    <w:rsid w:val="009B79AB"/>
    <w:rsid w:val="009C45BB"/>
    <w:rsid w:val="00A03846"/>
    <w:rsid w:val="00A3064B"/>
    <w:rsid w:val="00A61703"/>
    <w:rsid w:val="00AA134E"/>
    <w:rsid w:val="00AB0442"/>
    <w:rsid w:val="00AB4C8D"/>
    <w:rsid w:val="00AE4BD4"/>
    <w:rsid w:val="00B416F8"/>
    <w:rsid w:val="00B636B0"/>
    <w:rsid w:val="00B86E9C"/>
    <w:rsid w:val="00BE5E04"/>
    <w:rsid w:val="00C05BE9"/>
    <w:rsid w:val="00C110EB"/>
    <w:rsid w:val="00C112E9"/>
    <w:rsid w:val="00C14E38"/>
    <w:rsid w:val="00C27705"/>
    <w:rsid w:val="00C332C3"/>
    <w:rsid w:val="00C4278B"/>
    <w:rsid w:val="00C5603F"/>
    <w:rsid w:val="00C71970"/>
    <w:rsid w:val="00C742AC"/>
    <w:rsid w:val="00C850D6"/>
    <w:rsid w:val="00C86E2C"/>
    <w:rsid w:val="00CD023A"/>
    <w:rsid w:val="00CE09E1"/>
    <w:rsid w:val="00D01FB1"/>
    <w:rsid w:val="00D11DA7"/>
    <w:rsid w:val="00D1421B"/>
    <w:rsid w:val="00D52096"/>
    <w:rsid w:val="00D609BD"/>
    <w:rsid w:val="00D66084"/>
    <w:rsid w:val="00D7425F"/>
    <w:rsid w:val="00DD4A2B"/>
    <w:rsid w:val="00DE6D09"/>
    <w:rsid w:val="00DE6FA2"/>
    <w:rsid w:val="00E055E5"/>
    <w:rsid w:val="00E40D48"/>
    <w:rsid w:val="00E50A08"/>
    <w:rsid w:val="00E511F6"/>
    <w:rsid w:val="00E66529"/>
    <w:rsid w:val="00E766B6"/>
    <w:rsid w:val="00E80722"/>
    <w:rsid w:val="00EB0A91"/>
    <w:rsid w:val="00EB3B23"/>
    <w:rsid w:val="00EB6D57"/>
    <w:rsid w:val="00EB71B7"/>
    <w:rsid w:val="00EE0354"/>
    <w:rsid w:val="00F21A95"/>
    <w:rsid w:val="00F31095"/>
    <w:rsid w:val="00F546F7"/>
    <w:rsid w:val="00F74694"/>
    <w:rsid w:val="00F80F1E"/>
    <w:rsid w:val="00FB6D9D"/>
    <w:rsid w:val="00FC4456"/>
    <w:rsid w:val="00FE723D"/>
    <w:rsid w:val="00FF7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C727"/>
  <w15:chartTrackingRefBased/>
  <w15:docId w15:val="{53364578-21C3-4896-BEAD-5E669E32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3A3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83A3A"/>
    <w:pPr>
      <w:jc w:val="both"/>
    </w:pPr>
    <w:rPr>
      <w:sz w:val="28"/>
      <w:szCs w:val="20"/>
    </w:rPr>
  </w:style>
  <w:style w:type="character" w:customStyle="1" w:styleId="TekstpodstawowyZnak">
    <w:name w:val="Tekst podstawowy Znak"/>
    <w:basedOn w:val="Domylnaczcionkaakapitu"/>
    <w:link w:val="Tekstpodstawowy"/>
    <w:rsid w:val="00183A3A"/>
    <w:rPr>
      <w:rFonts w:ascii="Times New Roman" w:eastAsia="Times New Roman" w:hAnsi="Times New Roman" w:cs="Times New Roman"/>
      <w:sz w:val="28"/>
      <w:szCs w:val="20"/>
      <w:lang w:eastAsia="ar-SA"/>
    </w:rPr>
  </w:style>
  <w:style w:type="paragraph" w:styleId="Tekstpodstawowywcity">
    <w:name w:val="Body Text Indent"/>
    <w:basedOn w:val="Normalny"/>
    <w:link w:val="TekstpodstawowywcityZnak"/>
    <w:rsid w:val="00183A3A"/>
    <w:pPr>
      <w:ind w:left="3600" w:hanging="3600"/>
    </w:pPr>
  </w:style>
  <w:style w:type="character" w:customStyle="1" w:styleId="TekstpodstawowywcityZnak">
    <w:name w:val="Tekst podstawowy wcięty Znak"/>
    <w:basedOn w:val="Domylnaczcionkaakapitu"/>
    <w:link w:val="Tekstpodstawowywcity"/>
    <w:rsid w:val="00183A3A"/>
    <w:rPr>
      <w:rFonts w:ascii="Times New Roman" w:eastAsia="Times New Roman" w:hAnsi="Times New Roman" w:cs="Times New Roman"/>
      <w:sz w:val="24"/>
      <w:szCs w:val="24"/>
      <w:lang w:eastAsia="ar-SA"/>
    </w:rPr>
  </w:style>
  <w:style w:type="paragraph" w:styleId="Nagwek">
    <w:name w:val="header"/>
    <w:aliases w:val="Nagłówek strony,Nagłówek strony1,Nagłówek strony11,Nagłówek strony11 Znak Znak,Nagłówek tabeli"/>
    <w:basedOn w:val="Normalny"/>
    <w:link w:val="NagwekZnak"/>
    <w:uiPriority w:val="99"/>
    <w:rsid w:val="00183A3A"/>
    <w:pPr>
      <w:tabs>
        <w:tab w:val="center" w:pos="4536"/>
        <w:tab w:val="right" w:pos="9072"/>
      </w:tabs>
      <w:suppressAutoHyphens w:val="0"/>
    </w:pPr>
    <w:rPr>
      <w:rFonts w:ascii="PL Bangkok" w:hAnsi="PL Bangkok"/>
      <w:szCs w:val="20"/>
      <w:lang w:eastAsia="pl-PL"/>
    </w:rPr>
  </w:style>
  <w:style w:type="character" w:customStyle="1" w:styleId="NagwekZnak">
    <w:name w:val="Nagłówek Znak"/>
    <w:aliases w:val="Nagłówek strony Znak,Nagłówek strony1 Znak,Nagłówek strony11 Znak,Nagłówek strony11 Znak Znak Znak,Nagłówek tabeli Znak"/>
    <w:basedOn w:val="Domylnaczcionkaakapitu"/>
    <w:link w:val="Nagwek"/>
    <w:uiPriority w:val="99"/>
    <w:rsid w:val="00183A3A"/>
    <w:rPr>
      <w:rFonts w:ascii="PL Bangkok" w:eastAsia="Times New Roman" w:hAnsi="PL Bangkok" w:cs="Times New Roman"/>
      <w:sz w:val="24"/>
      <w:szCs w:val="20"/>
      <w:lang w:eastAsia="pl-PL"/>
    </w:rPr>
  </w:style>
  <w:style w:type="paragraph" w:styleId="Tekstdymka">
    <w:name w:val="Balloon Text"/>
    <w:basedOn w:val="Normalny"/>
    <w:link w:val="TekstdymkaZnak"/>
    <w:uiPriority w:val="99"/>
    <w:semiHidden/>
    <w:unhideWhenUsed/>
    <w:rsid w:val="00C05BE9"/>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5BE9"/>
    <w:rPr>
      <w:rFonts w:ascii="Segoe UI" w:eastAsia="Times New Roman" w:hAnsi="Segoe UI" w:cs="Segoe UI"/>
      <w:sz w:val="18"/>
      <w:szCs w:val="18"/>
      <w:lang w:eastAsia="ar-SA"/>
    </w:rPr>
  </w:style>
  <w:style w:type="paragraph" w:styleId="Akapitzlist">
    <w:name w:val="List Paragraph"/>
    <w:basedOn w:val="Normalny"/>
    <w:uiPriority w:val="34"/>
    <w:qFormat/>
    <w:rsid w:val="00AE4BD4"/>
    <w:pPr>
      <w:suppressAutoHyphens w:val="0"/>
      <w:ind w:left="720"/>
      <w:contextualSpacing/>
    </w:pPr>
    <w:rPr>
      <w:sz w:val="20"/>
      <w:szCs w:val="20"/>
      <w:lang w:eastAsia="pl-PL"/>
    </w:rPr>
  </w:style>
  <w:style w:type="paragraph" w:customStyle="1" w:styleId="Teksttreci1">
    <w:name w:val="Tekst treści1"/>
    <w:basedOn w:val="Normalny"/>
    <w:rsid w:val="00AE4BD4"/>
    <w:pPr>
      <w:pBdr>
        <w:top w:val="none" w:sz="0" w:space="0" w:color="000000"/>
        <w:left w:val="none" w:sz="0" w:space="0" w:color="000000"/>
        <w:bottom w:val="none" w:sz="0" w:space="0" w:color="000000"/>
        <w:right w:val="none" w:sz="0" w:space="0" w:color="000000"/>
      </w:pBdr>
      <w:shd w:val="clear" w:color="auto" w:fill="FFFFFF"/>
      <w:spacing w:before="300" w:line="274" w:lineRule="exact"/>
      <w:ind w:hanging="400"/>
    </w:pPr>
    <w:rPr>
      <w:sz w:val="21"/>
      <w:szCs w:val="21"/>
      <w:lang w:eastAsia="pl-PL"/>
    </w:rPr>
  </w:style>
  <w:style w:type="paragraph" w:customStyle="1" w:styleId="Standard">
    <w:name w:val="Standard"/>
    <w:rsid w:val="00AE4BD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ZnakZnak2ZnakZnak">
    <w:name w:val="Znak Znak2 Znak Znak"/>
    <w:basedOn w:val="Normalny"/>
    <w:rsid w:val="00C14E38"/>
    <w:pPr>
      <w:suppressAutoHyphens w:val="0"/>
    </w:pPr>
    <w:rPr>
      <w:lang w:eastAsia="pl-PL"/>
    </w:rPr>
  </w:style>
  <w:style w:type="paragraph" w:styleId="Stopka">
    <w:name w:val="footer"/>
    <w:basedOn w:val="Normalny"/>
    <w:link w:val="StopkaZnak"/>
    <w:uiPriority w:val="99"/>
    <w:unhideWhenUsed/>
    <w:rsid w:val="00837623"/>
    <w:pPr>
      <w:tabs>
        <w:tab w:val="center" w:pos="4536"/>
        <w:tab w:val="right" w:pos="9072"/>
      </w:tabs>
    </w:pPr>
  </w:style>
  <w:style w:type="character" w:customStyle="1" w:styleId="StopkaZnak">
    <w:name w:val="Stopka Znak"/>
    <w:basedOn w:val="Domylnaczcionkaakapitu"/>
    <w:link w:val="Stopka"/>
    <w:uiPriority w:val="99"/>
    <w:rsid w:val="0083762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1085</Words>
  <Characters>6514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Kuchciński</dc:creator>
  <cp:keywords/>
  <dc:description/>
  <cp:lastModifiedBy>Kamil Rozberg</cp:lastModifiedBy>
  <cp:revision>59</cp:revision>
  <cp:lastPrinted>2022-04-19T07:09:00Z</cp:lastPrinted>
  <dcterms:created xsi:type="dcterms:W3CDTF">2021-11-02T11:59:00Z</dcterms:created>
  <dcterms:modified xsi:type="dcterms:W3CDTF">2022-04-19T10:50:00Z</dcterms:modified>
</cp:coreProperties>
</file>