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575E8" w14:textId="77777777" w:rsidR="00223994" w:rsidRPr="00223994" w:rsidRDefault="00223994" w:rsidP="00223994">
      <w:pPr>
        <w:jc w:val="both"/>
        <w:rPr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Kierownik Jednostki Samorządu Terytorialnego (dalej JST) - w rozumieniu art. 33 ust. 3 Ustawy z dnia 8 marca 1990 r. o samorządzie gminnym (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. Dz. U. z 2022 r. poz. 1526.) </w:t>
      </w:r>
    </w:p>
    <w:p w14:paraId="00091FB9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 </w:t>
      </w:r>
    </w:p>
    <w:p w14:paraId="7912B8E5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. Dz. U. z 2019 r. poz. 162, 1590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)  oraz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przepisów art. 4 ust. 5 Ustawy o petycjach ( tj. Dz.U. 2018 poz. 870)  </w:t>
      </w:r>
    </w:p>
    <w:p w14:paraId="5E4C2E57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Data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dostarczenia  zgodna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z dyspozycją art. 61 pkt. 2 Ustawy Kodeks Cywilny (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. Dz. U. z 2020 r. poz. 1740) </w:t>
      </w:r>
    </w:p>
    <w:p w14:paraId="2B9A9E8B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5C0F34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Adresatem Wniosku/Petycji* - jest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Organ  ujawniony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w komparycji - jednoznacznie identyfikowalny  za pośrednictwem adresu e-mail pod którym odebrano niniejszy wniosek/petycję. Rzeczony adres e-mail uzyskano z Biuletynu Informacji Publicznej Urzędu.</w:t>
      </w:r>
    </w:p>
    <w:p w14:paraId="364251F3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94E989E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W razie wątpliwości co do trybu jaki należy zastosować do naszego pisma - wnosimy o bezwzględne zastosowanie dyspozycji art. 222 Ustawy z dnia 14 czerwca 1960 r. Kodeks postępowania administracyjnego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 xml:space="preserve">(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Dz. U. z 2020 r. poz. 256, 695) </w:t>
      </w:r>
    </w:p>
    <w:p w14:paraId="4741A7DC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CD1812F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Preambuła Wniosku/Petycji*:</w:t>
      </w:r>
    </w:p>
    <w:p w14:paraId="4C55AEE2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Wnioskodawca przed złożeniem niniejszego wniosku dokonał analizy odpowiedzi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uzyskanych  w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trybie ustawy o dostępie do informacji publicznej w przeciągu ostatnich 20 lat -  w obszarze związanym z wydatkowaniem środków podatników przez JST  na cele dotyczące szkoleń i  podnoszenia kwalifikacji Urzędników.</w:t>
      </w:r>
    </w:p>
    <w:p w14:paraId="0E22E088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Punktem wyjścia analizy dokonanej przez wnioskodawcę był zapis art. 241 KPA: “Przedmiotem wniosku mogą być w szczególności sprawy ulepszenia organizacji, wzmocnienia praworządności, usprawnienia pracy i zapobiegania nadużyciom, ochrony własności, lepszego zaspokajania potrzeb ludności.”</w:t>
      </w:r>
    </w:p>
    <w:p w14:paraId="6B0C7F5F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97F41AB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Oczywiście wszystko w kontekście art. 61 i 63 Konstytucji RP (…) "Każdy ma prawo składać petycje, wnioski i skargi w interesie publicznym, własnym, (…)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etc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” </w:t>
      </w:r>
    </w:p>
    <w:p w14:paraId="02071504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4BDF066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Dodatkowo dokonując analizy uzyskanych do tej pory odpowiedzi i widząc potrzebę zadania kolejnych pytań związanych z wydatkowaniem przez Urzędy środków Podatników - Wnioskodawca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-  opierał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się w tym przypadku na następujących podstawach prawnych: </w:t>
      </w:r>
    </w:p>
    <w:p w14:paraId="65BC70DE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Art. 24 ust. 2 pkt. 7 i art. 29 Ustawy o z dnia 21 listopada 2008 r. o pracownikach samorządowych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. (Dz. U. z 2022 r. poz. 530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) ”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   </w:t>
      </w:r>
    </w:p>
    <w:p w14:paraId="0942D024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- scilicet: art.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24  wzmiankowanej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ustawy: „(…) Do obowiązków pracownika samorządowego należy w szczególności (…) stałe podnoszenie umiejętności i kwalifikacji zawodowych (…)” </w:t>
      </w:r>
    </w:p>
    <w:p w14:paraId="6337A03C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Art. 29 wyżej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wzmiankowanej  ustawy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- scilicet: "(…)  1. Pracownicy samorządowi uczestniczą w różnych formach podnoszenia wiedzy i kwalifikacji zawodowych.</w:t>
      </w:r>
    </w:p>
    <w:p w14:paraId="680B0F9C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2. W planach finansowych jednostek, o których mowa w art. 2, przewiduje się środki finansowe na podnoszenie wiedzy i kwalifikacji zawodowych. (…)” </w:t>
      </w:r>
    </w:p>
    <w:p w14:paraId="0B62D082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8E5AFDD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Ponadto </w:t>
      </w:r>
      <w:proofErr w:type="gram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Wnioskodawca  ponownie</w:t>
      </w:r>
      <w:proofErr w:type="gram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 zapoznał się z protokołami pokontrolnymi Najwyższej Izby Kontroli opublikowanymi na stronach www.nik.gov.pl </w:t>
      </w:r>
      <w:proofErr w:type="spell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inter</w:t>
      </w:r>
      <w:proofErr w:type="spell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alia</w:t>
      </w:r>
      <w:proofErr w:type="spell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o sygnaturze LBY-4101-017-00/2014 Nr </w:t>
      </w:r>
      <w:proofErr w:type="spell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ewid</w:t>
      </w:r>
      <w:proofErr w:type="spell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. 23/2015/P/14/037/LBY pod nazwą „Organizacja i finasowanie szkoleń dla </w:t>
      </w:r>
      <w:proofErr w:type="spell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pracownikow</w:t>
      </w:r>
      <w:proofErr w:type="spell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administracji publicznej” </w:t>
      </w:r>
    </w:p>
    <w:p w14:paraId="4E98AAAB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1D845D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W konkluzjach ogólnych - rzeczonych protokołów NIK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-  znalazła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się m.in. następująca sugestia:  </w:t>
      </w:r>
    </w:p>
    <w:p w14:paraId="70FC8CF7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„(…) Najwyższa Izba Kontroli, niezależnie od wniosków przekazanych w wystąpieniach pokontrolnych kierownikom skontrolowanych jednostek, uznaje za niezbędne podjęcie następujących działań na rzecz efektywnego wykorzystania środków przeznaczonych na szkolenia pracowników:</w:t>
      </w:r>
    </w:p>
    <w:p w14:paraId="23B8D898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− dokonywanie – w szczególności w jednostkach samorządu terytorialnego – rzetelnych analiz rzeczywistych potrzeb szkoleniowych oraz sporządzanie na ich podstawie okresowych planów szkoleń;</w:t>
      </w:r>
    </w:p>
    <w:p w14:paraId="0559F240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− określenie mechanizmów i procedur kontrolnych zapewniających efektywne wykorzystanie środków finansowych, w tym przeznaczonych na podnoszenie kwalifikacji zawodowych pracowników;</w:t>
      </w:r>
    </w:p>
    <w:p w14:paraId="66AF291C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− wypracowanie instrumentów ewaluacji szkoleń i innych form podnoszenia kwalifikacji zawodowych pracowników, pozwalających na dokonanie oceny, czy przyniosły one zamierzone rezultaty. Zdaniem NIK istnieje potrzeba oparcia ewaluacji szkoleń na weryfikacji zdobytej wiedzy i umiejętności oraz ich poświadczania stosownym certyfikatem zamiast powszechnie stosowanych certyfikatów potwierdzających jedynie fakt uczestnictwa w szkoleniu</w:t>
      </w:r>
    </w:p>
    <w:p w14:paraId="68C90949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37627DD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Ponadto w treści wzmiankowanych protokołów NIK zarzuca JST, w poszczególnych przypadkach: </w:t>
      </w:r>
    </w:p>
    <w:p w14:paraId="66E403CD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"Kierowanie pracowników na szkolenia, których tematyka nie odpowiadała ich zakresom czynności i zadaniom realizowanym przez Urząd (…)” - sic! </w:t>
      </w:r>
    </w:p>
    <w:p w14:paraId="5472CA5B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Jak wynika z protokołów - wg. NIK - Urzędnicy "(…) nie sporządzali planów szkoleń oraz </w:t>
      </w: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nie prowadzili dokumentacji dotyczącej planowania i przebiegu szkoleń na podstawie tzw. „indywidualnych ścieżek rozwoju zawodowego </w:t>
      </w:r>
      <w:proofErr w:type="gram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pracowników”(</w:t>
      </w:r>
      <w:proofErr w:type="gram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…)” </w:t>
      </w:r>
    </w:p>
    <w:p w14:paraId="52C9DAB3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4D7F679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C173396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Analizując uzyskane w ostatnich latach odpowiedzi Wnioskodawca utwierdził się w przekonaniu, że pomimo upływu czasu sygnalizowane przez NIK mankamenty nie zostały usunięte, a w pewnych obszarach wraz ze wzrostem budżetów na cele szkoleniowe - problematyka niewłaściwego wydatkowania środków podatników w tym obszarze się pogłębia i wymaga ciągłej kontroli społecznej - poprzez zwiększanie jawności i transparentności. </w:t>
      </w:r>
    </w:p>
    <w:p w14:paraId="7122BABC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C62B5CE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Zatem każdy Podatnik - ma obowiązek i prawo zadawać pytanie czy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-  jeśli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prawdziwe są powzięte przez  NIK wnioski - można byłoby pieniądze podatników  wydatkować efektywniej w tym obszarze?</w:t>
      </w:r>
    </w:p>
    <w:p w14:paraId="51E5953F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Wszak w obecnej - szybko zmieniającej się rzeczywistości można uzyskiwać dostęp do efektywnych szkoleń - w obszarach rzeczywiście najbardziej palących i związanych z nowymi wyzwaniami jakie stawia informatyzacja, sztuczna inteligencja,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cyberbezpieczeństwo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etc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 </w:t>
      </w:r>
    </w:p>
    <w:p w14:paraId="6F9B83ED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C794EBB" w14:textId="44CE2C55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Resumując - zdaniem wnioskodawcy - biorąc pod uwagę, że wydatkowane są na ten cel pieniądze Podatników - w szczególnym interesie publicznym pro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publico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 xml:space="preserve"> bono jest pod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223994">
        <w:rPr>
          <w:rFonts w:ascii="Arial" w:hAnsi="Arial" w:cs="Arial"/>
          <w:color w:val="000000"/>
          <w:sz w:val="20"/>
          <w:szCs w:val="20"/>
        </w:rPr>
        <w:t xml:space="preserve">anie tego obszaru kontroli społecznej, procedurom sanacyjnym, czy to w trybie art. 241 KPA czy innych przepisów dot. jawności i transparentności,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etc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 xml:space="preserve">  </w:t>
      </w:r>
    </w:p>
    <w:p w14:paraId="5A020EAC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BF9B79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W zawiązku z powyższym: </w:t>
      </w:r>
    </w:p>
    <w:p w14:paraId="56053DA0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21A032F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Osnowa Wniosku: </w:t>
      </w:r>
    </w:p>
    <w:p w14:paraId="5AF8F6AB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§1) Na mocy art. 61 Konstytucji RP, w trybie art. 6 ust. 1 pkt. 1 lit c Ustawy z dnia 6 września o dostępie do informacji publicznej (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 xml:space="preserve">. Dz. U. z 2022 r. poz. 902) - w dalszej części rzeczona ustawa może występować pod akronimem: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uoddip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 xml:space="preserve">) - wnosimy o udzielnie informacji publicznej - jaką kwotę ze środków publicznych wydatkowała Gmina w 2023 r. w ramach zakupów szkoleń związanych z tematyką szeroko pojętego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cyberbezpieczeństwa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? </w:t>
      </w:r>
    </w:p>
    <w:p w14:paraId="1C1BDABC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§1.1) W trybie wyżej wymienionych przepisów - wnosimy o wymienienie co najmniej 5 tytułów i odnośnych zakresów tematycznych szkoleń - w ramach </w:t>
      </w:r>
      <w:proofErr w:type="gram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których  -</w:t>
      </w:r>
      <w:proofErr w:type="gram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w 2023 r. wydatkowano w Urzędzie najwyższe kwoty ze środków publicznych. </w:t>
      </w:r>
    </w:p>
    <w:p w14:paraId="73A32540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W tym przypadku Wnioskodawca pyta o rzeczone 5 tytułów szkoleń wybranych z ogólnego zakresu tematycznego odbytych szkoleń w 2023 r. </w:t>
      </w:r>
    </w:p>
    <w:p w14:paraId="54D908F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53A3AE9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Do każdego z </w:t>
      </w:r>
      <w:proofErr w:type="spell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wyszczegolnionych</w:t>
      </w:r>
      <w:proofErr w:type="spell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wyżej wzmiankowanych zakresów tematycznych szkoleń, o które wnioskodawca pyta zgodnie z §1.1. </w:t>
      </w:r>
      <w:proofErr w:type="gram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-  wnosimy</w:t>
      </w:r>
      <w:proofErr w:type="gram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o przypisanie odnośnej kwantyfikacji poniesionych kosztów. </w:t>
      </w:r>
    </w:p>
    <w:p w14:paraId="45F2B930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BB7374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§2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) </w:t>
      </w: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 W</w:t>
      </w:r>
      <w:proofErr w:type="gram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trybie wyżej wzmiankowanych przepisów - wnosimy o udzielenie informacji publicznej  - czy w ciągu ostatnich 4 lat Gmina korzystała ze szkoleń finansowanych z Krajowego Funduszu Szkoleniowego? </w:t>
      </w:r>
    </w:p>
    <w:p w14:paraId="0ED0C4FD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A21CCBD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§3) Korespondując z informacjami uzyskanymi z wyżej cytowanych protokołów pokontrolnych NIK - na mocy art. 61 Konstytucji RP, w trybie art. 6 ust. 1 pkt. 1 lit c Ustawy z dnia 6 września o dostępie do informacji publicznej (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. Dz. U. z 2022 r. poz. 902) - </w:t>
      </w: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czy:</w:t>
      </w:r>
    </w:p>
    <w:p w14:paraId="7DB85CA7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1. W </w:t>
      </w:r>
      <w:proofErr w:type="gram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Urzędzie  określono</w:t>
      </w:r>
      <w:proofErr w:type="gram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mechanizmy  i procedury kontrolne zapewniających efektywne wykorzystanie środków finansowych, w tym przeznaczonych na podnoszenie kwalifikacji zawodowych pracowników? </w:t>
      </w:r>
    </w:p>
    <w:p w14:paraId="24C76563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2. W Urzędzie - sporządzono plany szkoleń i prowadzona jest dokumentacja dotycząca planowania i przebiegu szkoleń na podstawie tzw. „indywidualnych ścieżek rozwoju zawodowego pracowników</w:t>
      </w:r>
      <w:proofErr w:type="gram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” ?</w:t>
      </w:r>
      <w:proofErr w:type="gram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- niniejsze pytanie dotyczy oczywiście stanu faktycznego związanego z okresem 2024 r. </w:t>
      </w:r>
    </w:p>
    <w:p w14:paraId="10893E0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3. Jeśli odpowiedź na pytanie z §2 pkt. 1 jest twierdząca - Wnioskodawca wnosi o udzielnie informacji publicznej czy Urząd opublikował jakąkolwiek dokumentację dotyczącą planowanych </w:t>
      </w:r>
      <w:r w:rsidRPr="00223994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szkoleń oraz mechanizmów i procedur kontrolnych zapewniających efektywne wykorzystanie środków publicznych w tym obszarze </w:t>
      </w:r>
      <w:proofErr w:type="gram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-  w</w:t>
      </w:r>
      <w:proofErr w:type="gram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Biuletynie Informacji Publicznej i ewentualnie pod jakim adresem URL?  </w:t>
      </w:r>
    </w:p>
    <w:p w14:paraId="7C1DCC83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E3BB75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§3a) </w:t>
      </w: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W trybie wyżej powołanych przepisów wnosimy o udzielenie informacji publicznej w przedmiocie - czy Urząd brał udział w programie „</w:t>
      </w:r>
      <w:proofErr w:type="spell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Cyberbezpieczny</w:t>
      </w:r>
      <w:proofErr w:type="spell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Samorząd” i jaką kwotę pozyskał - lub ma szansę pozyskać w ramach rzecznego grantu? </w:t>
      </w:r>
    </w:p>
    <w:p w14:paraId="73F5B19D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3ABBD89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§5) Na mocy art. 61 Konstytucji RP, w trybie art. 6 ust. 1 pkt. 1 lit a  (" Udostępnieniu podlega informacja (..)  zamierzeniach działań władzy ustawodawczej oraz wykonawczej”) Ustawy z dnia 6 września o dostępie do informacji publicznej (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. Dz. U. z 2022 r. poz. 902) -  </w:t>
      </w: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Jaką kwotę - en </w:t>
      </w:r>
      <w:proofErr w:type="spell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bloc</w:t>
      </w:r>
      <w:proofErr w:type="spell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- zamierza przeznaczyć urząd do końca 2024 r. na szkolenia związane z potrzebą stopniowego przygotowywania się do wdrożenia w JST przepisów Dyrektywy 2022/2555 w sprawie środków na rzecz wysokiego wspólnego poziomu </w:t>
      </w:r>
      <w:proofErr w:type="spell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cyberbezpieczeństwa</w:t>
      </w:r>
      <w:proofErr w:type="spell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na terytorium Unii - (NIS2)? </w:t>
      </w:r>
    </w:p>
    <w:p w14:paraId="5E930104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9AE4E6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§6) Na mocy art. 61 Konstytucji RP, w trybie art. 6 ust. 1 pkt. 1 lit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a  (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>" Udostępnieniu podlega informacja (..)  zamierzeniach działań władzy ustawodawczej oraz wykonawczej”) Ustawy z dnia 6 września o dostępie do informacji publicznej (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. Dz. U. z 2022 r. poz. 902) -</w:t>
      </w: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 wnosimy o udzielenie informacji publicznej o 5 głównych obszarach szkoleń jakie  w 2024 r. - wydają się Gminie najbardziej istotne z punktu wypełniania zadań publicznych i racjonalnego wydatkowania środków podatników. </w:t>
      </w:r>
    </w:p>
    <w:p w14:paraId="794C1B5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7C236B1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§7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)  Na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mocy art. 61 Konstytucji RP, w trybie art. 6 ust. 1 pkt. 1 lit c   Ustawy z dnia 6 września o dostępie do informacji publicznej (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>. Dz. U. z 2022 r. poz. 902) -  wnosimy o udzielenie informacji publicznej w przedmiocie -  nazwy firm szkoleniowych, które realizowały 5 największych zamówień związanych z podnoszeniem kwalifikacji Urzędników w 2023 r. </w:t>
      </w:r>
    </w:p>
    <w:p w14:paraId="70B90CD3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Wnosimy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jednocześnie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aby każdemu dostawcy przyporządkowana była stosowana kwota - wydatkowana przez Gminę w 2023 r. na usługi tego typu </w:t>
      </w:r>
    </w:p>
    <w:p w14:paraId="062DE37B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1973CC5" w14:textId="77777777" w:rsid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§8) Wnosimy o podanie danych kontaktowych Urzędnika, który w zakresie powierzonych mu zadań i wykonywanych kompetencji nadzoruje sprawy związane z zadaniami dotyczącymi tego obszaru wypełniania zadań publicznych w związku z ewentualnym zamawianiem i oceną efektywności dostępnych na rynku szkoleń   -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scilicet:  (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>Imię i nazwisko, adres do korespondencji e-mail, tel. i stanowisko służbowe Urzędnika) </w:t>
      </w:r>
    </w:p>
    <w:p w14:paraId="2CB903CF" w14:textId="2202F29D" w:rsidR="00223994" w:rsidRDefault="00223994" w:rsidP="00223994">
      <w:pPr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Jeśli taki Urzędnik nie został wskazany wnosimy o podanie stosownych danych osoby, która - w empirii - operacyjnie zajmuje się tym obszarem działania Urzędu.</w:t>
      </w:r>
    </w:p>
    <w:p w14:paraId="4777EBE9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0D3E481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Preambula</w:t>
      </w:r>
      <w:proofErr w:type="spell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do </w:t>
      </w:r>
      <w:proofErr w:type="gram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pytania  z</w:t>
      </w:r>
      <w:proofErr w:type="gram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§9 poniżej:</w:t>
      </w:r>
    </w:p>
    <w:p w14:paraId="6BF20D91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Wnioskodawca analizując uzyskane na przestrzeni ostatnich lat - informacje publiczne z Gmin - dotyczące wypełniania zadania własnego określonego w art. 7 ust. 1 pkt 18 </w:t>
      </w:r>
      <w:r w:rsidRPr="00223994">
        <w:rPr>
          <w:rFonts w:ascii="ArialMT" w:hAnsi="ArialMT" w:cs="Arial"/>
          <w:color w:val="000000"/>
          <w:sz w:val="20"/>
          <w:szCs w:val="20"/>
        </w:rPr>
        <w:t>   Ustawy z dnia 8 marca 1990 r. o samorządzie gminnym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 xml:space="preserve">   (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>tj. Dz. U. z 2022 r. poz. 559 , 583)  - potwierdził ze smutkiem ocenę Najwyższej Izby Kontroli zawartej w protokole pokontrolnym </w:t>
      </w: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o sygnaturze: LKI.430.003.2019 Nr </w:t>
      </w:r>
      <w:proofErr w:type="spellStart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ewid</w:t>
      </w:r>
      <w:proofErr w:type="spellEnd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. 74/2019/P/19/072/LKI </w:t>
      </w:r>
      <w:r w:rsidRPr="00223994">
        <w:rPr>
          <w:rFonts w:ascii="ArialMT" w:hAnsi="ArialMT" w:cs="Arial"/>
          <w:color w:val="000000"/>
          <w:sz w:val="20"/>
          <w:szCs w:val="20"/>
        </w:rPr>
        <w:t>(w całości dostępny na stronach </w:t>
      </w:r>
      <w:hyperlink r:id="rId4" w:history="1">
        <w:r w:rsidRPr="00223994">
          <w:rPr>
            <w:rFonts w:ascii="ArialMT" w:hAnsi="ArialMT" w:cs="Arial"/>
            <w:color w:val="0000FF"/>
            <w:sz w:val="20"/>
            <w:szCs w:val="20"/>
            <w:u w:val="single"/>
          </w:rPr>
          <w:t>nik.gov.pl</w:t>
        </w:r>
      </w:hyperlink>
      <w:r w:rsidRPr="00223994">
        <w:rPr>
          <w:rFonts w:ascii="ArialMT" w:hAnsi="ArialMT" w:cs="Arial"/>
          <w:color w:val="000000"/>
          <w:sz w:val="20"/>
          <w:szCs w:val="20"/>
        </w:rPr>
        <w:t>) </w:t>
      </w:r>
    </w:p>
    <w:p w14:paraId="3FFF5250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Dla przypomnienia NIK konkluduje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inter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alia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>: </w:t>
      </w:r>
    </w:p>
    <w:p w14:paraId="41058A6C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„(…) Promocja gmin odbywa się bez jasnych strategii i planów działań (…) </w:t>
      </w:r>
    </w:p>
    <w:p w14:paraId="0C9C3664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„(…) </w:t>
      </w:r>
      <w:r w:rsidRPr="00223994">
        <w:rPr>
          <w:rFonts w:ascii="ArialMT" w:hAnsi="ArialMT" w:cs="Arial"/>
          <w:color w:val="000000"/>
          <w:sz w:val="20"/>
          <w:szCs w:val="20"/>
        </w:rPr>
        <w:t>Finansowanie z budżetów promocyjnych promocję celów, które nie miały nic wspólnego z promocją, stwierdzono </w:t>
      </w: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w połowie skontrolowanych </w:t>
      </w:r>
      <w:proofErr w:type="spellStart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jst</w:t>
      </w:r>
      <w:proofErr w:type="spellEnd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.</w:t>
      </w:r>
      <w:r w:rsidRPr="00223994">
        <w:rPr>
          <w:rFonts w:ascii="ArialMT" w:hAnsi="ArialMT" w:cs="Arial"/>
          <w:color w:val="000000"/>
          <w:sz w:val="20"/>
          <w:szCs w:val="20"/>
        </w:rPr>
        <w:t> (…) </w:t>
      </w:r>
    </w:p>
    <w:p w14:paraId="5FDF560B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5F4DB49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W związku z tak rażącym złym stanem faktycznym dotyczących wydatkowania Środków Podatników na promocję gmin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-  w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tym przyciągnie uwagi potencjalnych inwestorów i turystów :</w:t>
      </w:r>
    </w:p>
    <w:p w14:paraId="6D8D3996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Wnioskodawca dokonał ad hoc analizy - trendów zwiążą nich z promocją Jednostek Samorządu Terytorialnego na ternie UE. Przeważają nowoczesne formy związane z użyciem multimediów do promocji Jednostek skierowane do Turystów i potencjalnych inwestorów. </w:t>
      </w:r>
    </w:p>
    <w:p w14:paraId="5DE726ED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W Hiszpania, Niemczech, Francji czy w Krajach Skandynawskich promocja gmin (tamtejszych odpowiedników gmin) nie odbiega poziomem od promocji dużych korporacji - podobny rozmach, nowoczesne narzędzia, długofalowe plany działań i jasne strategie z oceną efektów każdego wydatkowanego euro.</w:t>
      </w:r>
    </w:p>
    <w:p w14:paraId="07CD4079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Tymczasem w naszym kraju NIK jakby a contrario w wyżej wzmiankowanym protokole NIK konkluduje: </w:t>
      </w:r>
    </w:p>
    <w:p w14:paraId="682F046C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"(…) Dlatego Izba skierowała do kierowników skontrolowanych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jst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 wnioski pokontrolne. Dotyczyły one przede wszystkim:</w:t>
      </w:r>
    </w:p>
    <w:p w14:paraId="6EC9925A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lastRenderedPageBreak/>
        <w:t>- konieczności planowania zadań dotyczących promocji gminy, na podstawie sporządzanych </w:t>
      </w: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analiz potrzeb oraz określenia wskaźników osiągania celów i zadań promocyjnych oraz monitorowania i dokonywania analizy osiągniętych efektów działań promocyjnych,</w:t>
      </w:r>
    </w:p>
    <w:p w14:paraId="46006ED8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- finansowania ze środków przeznaczonych na promocję tylko przedsięwzięć służących promocji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gminy,  (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>…)</w:t>
      </w:r>
    </w:p>
    <w:p w14:paraId="19A940BE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D257E8F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W ww. Krajach w UE renomowane agencje reklamowe prowadzą kampanie wspólnot lokalnych w oparciu o specyfikę geograficzną i kulturalną z wykorzystaniem multimedialnych narzędzi w oparciu o analizę trendów społecznych i socjologicznych. </w:t>
      </w:r>
    </w:p>
    <w:p w14:paraId="7274FD00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Ad exemplum - dużą popularnością cieszą się w ostatnim czasie m.in. </w:t>
      </w:r>
    </w:p>
    <w:p w14:paraId="0D1AED07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"inteligentne centra informacji i obsługi miejskiej/gminnej" o nowoczesnych multimedialnych funkcjach:</w:t>
      </w:r>
    </w:p>
    <w:p w14:paraId="5D03DAF7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Informacja turystyczna, Informacje dla potencjalnych inwestorów, historia gminy, lokalny przewodnik, </w:t>
      </w:r>
      <w:proofErr w:type="gramStart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Punkt  alarmowy</w:t>
      </w:r>
      <w:proofErr w:type="gramEnd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etc</w:t>
      </w:r>
      <w:proofErr w:type="spellEnd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  </w:t>
      </w:r>
    </w:p>
    <w:p w14:paraId="77F4231F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6BF463F4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§9) W związku z powyższą analizą oraz druzgocącą opinią NIK o stanie faktycznym związanym z wydatkowaniem środków publicznych na realizację rzeczonych zadań - na mocy art. 61 Konstytucji RP, w trybie art. 6 ust. 1 pkt. 1 lit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a  (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>" Udostępnieniu podlega informacja (..)  zamierzeniach działań władzy ustawodawczej oraz wykonawczej”) Ustawy z dnia 6 września o dostępie do informacji publicznej (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>. Dz. U. z 2022 r. poz. 902)</w:t>
      </w:r>
    </w:p>
    <w:p w14:paraId="19AB860C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 - wnosimy o udzielnie informacji </w:t>
      </w:r>
      <w:proofErr w:type="gramStart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publicznej  -</w:t>
      </w:r>
      <w:proofErr w:type="gramEnd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 czy władze gminy zamierzają w ciągu najbliższych 3 lat rozpoznać możliwości nabycia nowoczesnych, multimedialnych - inteligentnych centrów informacji o jakich mowa jest w powyższym akapicie?  </w:t>
      </w:r>
    </w:p>
    <w:p w14:paraId="64423E51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C5D9FF6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Wnioskodawcy wydaje się, że takie działania pomogą wdrożyć procedurę sanacyjną w tym obszarze wydatkowania środków publicznych powierzonych Urzędnikom. </w:t>
      </w:r>
    </w:p>
    <w:p w14:paraId="0ECE87D9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43E3D64" w14:textId="13E68AEF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SZCZEGÓLNA WAŻKOŚĆ z punktu widzenia uzasadnionego interesu społecznego - pro </w:t>
      </w:r>
      <w:proofErr w:type="spellStart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publico</w:t>
      </w:r>
      <w:proofErr w:type="spellEnd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 bono: </w:t>
      </w:r>
    </w:p>
    <w:p w14:paraId="02C5E998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Zdaniem wnioskodawcy</w:t>
      </w:r>
      <w:r w:rsidRPr="00223994">
        <w:rPr>
          <w:rFonts w:ascii="Arial" w:hAnsi="Arial" w:cs="Arial"/>
          <w:color w:val="000000"/>
          <w:sz w:val="20"/>
          <w:szCs w:val="20"/>
        </w:rPr>
        <w:t> prawidłowo prowadzona dokumentacja w Urzędzie - dotycząca wydatkowania środków publicznych na określone w ramach wniosku zagadnienia - pozwala odpowiedzieć ad hoc na zadane pytania - bez konieczności nadmiernego przetwarzania danych będących w rejestrach urzędu. </w:t>
      </w:r>
    </w:p>
    <w:p w14:paraId="7D9F0B89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Jednakże z ostrożności i dbałości o aspekt ex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professo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 - Wnioskodawca cytując tezy z ogólnodostępnych protokołów NIK dot. nieprawidłowości w omawianym obszarze -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umotywował  fakultatywnie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>, jak </w:t>
      </w: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SZCZEGÓLNIE ISTOTNE</w:t>
      </w:r>
      <w:r w:rsidRPr="00223994">
        <w:rPr>
          <w:rFonts w:ascii="ArialMT" w:hAnsi="ArialMT" w:cs="Arial"/>
          <w:color w:val="000000"/>
          <w:sz w:val="20"/>
          <w:szCs w:val="20"/>
        </w:rPr>
        <w:t xml:space="preserve">  z punktu widzenia uzasadnionego interesu społecznego -  pro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publico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 bono i racjonalnego wydatkowania środków podatników - jest przygotowanie i udzielenie odpowiedzi. </w:t>
      </w:r>
    </w:p>
    <w:p w14:paraId="0DD13BCE" w14:textId="77777777" w:rsid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Zdaniem Wnioskodawcy taki sposób motywacji poprzez zapoznanie się wnioskodawcy z ogólnodostępnymi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protokowani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 NIK - nawet zacytowanie niektórych tez tam zawartych - zaspokajają w pełni wymogi art. 3 ust. 1 pkt. 1 Ustawy o dostępie do informacji publicznej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 xml:space="preserve">(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>.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Dz. U. 2022 poz. 902)</w:t>
      </w:r>
      <w:r>
        <w:rPr>
          <w:rFonts w:ascii="ArialMT" w:hAnsi="ArialMT" w:cs="Arial"/>
          <w:color w:val="000000"/>
          <w:sz w:val="20"/>
          <w:szCs w:val="20"/>
        </w:rPr>
        <w:t>.</w:t>
      </w:r>
    </w:p>
    <w:p w14:paraId="598A8420" w14:textId="71131C1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MT" w:hAnsi="ArialMT" w:cs="Arial"/>
          <w:color w:val="000000"/>
          <w:sz w:val="20"/>
          <w:szCs w:val="20"/>
        </w:rPr>
        <w:t>P</w:t>
      </w:r>
      <w:r w:rsidRPr="00223994">
        <w:rPr>
          <w:rFonts w:ascii="ArialMT" w:hAnsi="ArialMT" w:cs="Arial"/>
          <w:color w:val="000000"/>
          <w:sz w:val="20"/>
          <w:szCs w:val="20"/>
        </w:rPr>
        <w:t xml:space="preserve">rzy prawidłowo prowadzonej dokumentacji dane te powinny być ad hoc dostępne w Urzędzie –   jak wykazano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w  oparciu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powyższą analizę i stan faktyczny z niej wynikający. </w:t>
      </w:r>
    </w:p>
    <w:p w14:paraId="31FBAC0C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F041BD5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BAC7B30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II - Petycja Odrębna, o treści jak poniżej</w:t>
      </w:r>
    </w:p>
    <w:p w14:paraId="22FEE536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Petycja odrębna - dla ułatwienia i zmniejszenia biurokracji - została dołączona do niniejszego wniosku   - vide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-  J.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Borkowski (w:) B. Adamiak, J. Borkowski, Kodeks postępowania…, s. 668; por. także art. 12 ust. 1 komentowanej ustawy - dostępne w sieci Internet.  - co jak wynika z cytowanego piśmiennictwa nie jest łączeniem trybów. </w:t>
      </w:r>
    </w:p>
    <w:p w14:paraId="27AC1D5D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 </w:t>
      </w:r>
    </w:p>
    <w:p w14:paraId="28054D83" w14:textId="6D588305" w:rsid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W trybie Ustawy o petycjach (Dz.U.2018.870 tj. z dnia 2018.05.10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)  -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 biorąc pod uwagę, wyżej przytoczone tezy NIK  -  można upewnić się że poruszana przez nas tematyka należy z pewnością do wartości wymagających szczególnej ochrony w imię dobra wspólnego, mieszczących się w zakresie zadań i kompetencji adresata petycji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22399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0EF3CF9" w14:textId="092BB1F9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W</w:t>
      </w: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nosimy o: </w:t>
      </w:r>
    </w:p>
    <w:p w14:paraId="4502DB2C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347F55A" w14:textId="77777777" w:rsid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II.1) Szczegółowe zapoznanie się Decydentów z cytowanym protokołem NIK </w:t>
      </w: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o sygnaturze: LKI.430.003.2019 Nr </w:t>
      </w:r>
      <w:proofErr w:type="spellStart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ewid</w:t>
      </w:r>
      <w:proofErr w:type="spellEnd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. 74/2019/P/19/072/LKI </w:t>
      </w:r>
      <w:r w:rsidRPr="00223994">
        <w:rPr>
          <w:rFonts w:ascii="ArialMT" w:hAnsi="ArialMT" w:cs="Arial"/>
          <w:color w:val="000000"/>
          <w:sz w:val="20"/>
          <w:szCs w:val="20"/>
        </w:rPr>
        <w:t>(w całości dostępny na stronach </w:t>
      </w:r>
      <w:hyperlink r:id="rId5" w:history="1">
        <w:r w:rsidRPr="00223994">
          <w:rPr>
            <w:rFonts w:ascii="ArialMT" w:hAnsi="ArialMT" w:cs="Arial"/>
            <w:color w:val="0000FF"/>
            <w:sz w:val="20"/>
            <w:szCs w:val="20"/>
            <w:u w:val="single"/>
          </w:rPr>
          <w:t>nik.gov.pl</w:t>
        </w:r>
      </w:hyperlink>
      <w:r w:rsidRPr="00223994">
        <w:rPr>
          <w:rFonts w:ascii="ArialMT" w:hAnsi="ArialMT" w:cs="Arial"/>
          <w:color w:val="000000"/>
          <w:sz w:val="20"/>
          <w:szCs w:val="20"/>
        </w:rPr>
        <w:t>)</w:t>
      </w:r>
      <w:r>
        <w:rPr>
          <w:rFonts w:ascii="ArialMT" w:hAnsi="ArialMT" w:cs="Arial"/>
          <w:color w:val="000000"/>
          <w:sz w:val="20"/>
          <w:szCs w:val="20"/>
        </w:rPr>
        <w:t>.</w:t>
      </w:r>
    </w:p>
    <w:p w14:paraId="199F021A" w14:textId="61AED17B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MT" w:hAnsi="ArialMT" w:cs="Arial"/>
          <w:color w:val="000000"/>
          <w:sz w:val="20"/>
          <w:szCs w:val="20"/>
        </w:rPr>
        <w:lastRenderedPageBreak/>
        <w:t xml:space="preserve">Dodatkowo wnosimy o przeprowadzenie analizy tego obszaru pod kątem </w:t>
      </w:r>
      <w:proofErr w:type="gramStart"/>
      <w:r>
        <w:rPr>
          <w:rFonts w:ascii="ArialMT" w:hAnsi="ArialMT" w:cs="Arial"/>
          <w:color w:val="000000"/>
          <w:sz w:val="20"/>
          <w:szCs w:val="20"/>
        </w:rPr>
        <w:t>tez stawianych w</w:t>
      </w:r>
      <w:proofErr w:type="gramEnd"/>
      <w:r>
        <w:rPr>
          <w:rFonts w:ascii="ArialMT" w:hAnsi="ArialMT" w:cs="Arial"/>
          <w:color w:val="000000"/>
          <w:sz w:val="20"/>
          <w:szCs w:val="20"/>
        </w:rPr>
        <w:t xml:space="preserve"> cytowanym protokole NIK. </w:t>
      </w:r>
      <w:r>
        <w:rPr>
          <w:rFonts w:ascii="ArialMT" w:hAnsi="ArialMT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Wnosimy również o wykonanie </w:t>
      </w:r>
      <w:r w:rsidRPr="00223994">
        <w:rPr>
          <w:rFonts w:ascii="Arial" w:hAnsi="Arial" w:cs="Arial"/>
          <w:color w:val="000000"/>
          <w:sz w:val="20"/>
          <w:szCs w:val="20"/>
        </w:rPr>
        <w:t xml:space="preserve">rekonesansu w obszarze związanym z </w:t>
      </w:r>
      <w:r>
        <w:rPr>
          <w:rFonts w:ascii="Arial" w:hAnsi="Arial" w:cs="Arial"/>
          <w:color w:val="000000"/>
          <w:sz w:val="20"/>
          <w:szCs w:val="20"/>
        </w:rPr>
        <w:t xml:space="preserve">ewentualną </w:t>
      </w:r>
      <w:r w:rsidRPr="00223994">
        <w:rPr>
          <w:rFonts w:ascii="Arial" w:hAnsi="Arial" w:cs="Arial"/>
          <w:color w:val="000000"/>
          <w:sz w:val="20"/>
          <w:szCs w:val="20"/>
        </w:rPr>
        <w:t xml:space="preserve">potrzebą zastosowania </w:t>
      </w:r>
      <w:r>
        <w:rPr>
          <w:rFonts w:ascii="Arial" w:hAnsi="Arial" w:cs="Arial"/>
          <w:color w:val="000000"/>
          <w:sz w:val="20"/>
          <w:szCs w:val="20"/>
        </w:rPr>
        <w:t xml:space="preserve">do promocji gminy – w ramach długofalowego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planowania  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dedykowanych, </w:t>
      </w:r>
      <w:r w:rsidRPr="00223994">
        <w:rPr>
          <w:rFonts w:ascii="Arial" w:hAnsi="Arial" w:cs="Arial"/>
          <w:color w:val="000000"/>
          <w:sz w:val="20"/>
          <w:szCs w:val="20"/>
        </w:rPr>
        <w:t xml:space="preserve">nowoczesnych form promocji gminy o jakich mowa jest w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kontencie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 xml:space="preserve"> naszego wniosku. </w:t>
      </w:r>
    </w:p>
    <w:p w14:paraId="04204E21" w14:textId="368A6DB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Wnosimy o </w:t>
      </w:r>
      <w:r>
        <w:rPr>
          <w:rFonts w:ascii="Arial" w:hAnsi="Arial" w:cs="Arial"/>
          <w:color w:val="000000"/>
          <w:sz w:val="20"/>
          <w:szCs w:val="20"/>
        </w:rPr>
        <w:t xml:space="preserve">ewentualne </w:t>
      </w:r>
      <w:r w:rsidRPr="00223994">
        <w:rPr>
          <w:rFonts w:ascii="Arial" w:hAnsi="Arial" w:cs="Arial"/>
          <w:color w:val="000000"/>
          <w:sz w:val="20"/>
          <w:szCs w:val="20"/>
        </w:rPr>
        <w:t xml:space="preserve">zaplanowanie nabycia takich wzmiankowanych wyżej - inteligentnych centrów informacji multimedialnej - oczywiście wszystko w ramach ścisłego stosowania zasad uczciwej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konkurencji  i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racjonalnego wydatkowania środków publicznych powierzonych przez podatników. </w:t>
      </w:r>
    </w:p>
    <w:p w14:paraId="666201AE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19AAA68" w14:textId="77777777" w:rsidR="001A319E" w:rsidRPr="001A319E" w:rsidRDefault="001A319E" w:rsidP="001A319E">
      <w:pPr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1A319E">
        <w:rPr>
          <w:rFonts w:ascii="Arial" w:hAnsi="Arial" w:cs="Arial"/>
          <w:color w:val="000000"/>
          <w:sz w:val="20"/>
          <w:szCs w:val="20"/>
        </w:rPr>
        <w:t>Wnioskodawy</w:t>
      </w:r>
      <w:proofErr w:type="spellEnd"/>
      <w:r w:rsidRPr="001A319E">
        <w:rPr>
          <w:rFonts w:ascii="Arial" w:hAnsi="Arial" w:cs="Arial"/>
          <w:color w:val="000000"/>
          <w:sz w:val="20"/>
          <w:szCs w:val="20"/>
        </w:rPr>
        <w:t xml:space="preserve"> wydaje się, że korzystając z nowoczesnych multimedialnych form promocji gminy - </w:t>
      </w:r>
      <w:proofErr w:type="gramStart"/>
      <w:r w:rsidRPr="001A319E">
        <w:rPr>
          <w:rFonts w:ascii="Arial" w:hAnsi="Arial" w:cs="Arial"/>
          <w:color w:val="000000"/>
          <w:sz w:val="20"/>
          <w:szCs w:val="20"/>
        </w:rPr>
        <w:t>sugestie  zawarte</w:t>
      </w:r>
      <w:proofErr w:type="gramEnd"/>
      <w:r w:rsidRPr="001A319E">
        <w:rPr>
          <w:rFonts w:ascii="Arial" w:hAnsi="Arial" w:cs="Arial"/>
          <w:color w:val="000000"/>
          <w:sz w:val="20"/>
          <w:szCs w:val="20"/>
        </w:rPr>
        <w:t xml:space="preserve"> w protokołach pokontrolnych NIK - dotyczące długofalowego planowania i analizy efektów - być może łatwiej będzie można   wdrożyć w urzędzie.</w:t>
      </w:r>
    </w:p>
    <w:p w14:paraId="65882ABA" w14:textId="1D3CC978" w:rsidR="001A319E" w:rsidRPr="001A319E" w:rsidRDefault="001A319E" w:rsidP="001A319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A319E">
        <w:rPr>
          <w:rFonts w:ascii="Arial" w:hAnsi="Arial" w:cs="Arial"/>
          <w:color w:val="000000"/>
          <w:sz w:val="20"/>
          <w:szCs w:val="20"/>
        </w:rPr>
        <w:t xml:space="preserve">Zdaniem wnioskodawcy </w:t>
      </w:r>
      <w:proofErr w:type="gramStart"/>
      <w:r w:rsidRPr="001A319E">
        <w:rPr>
          <w:rFonts w:ascii="Arial" w:hAnsi="Arial" w:cs="Arial"/>
          <w:color w:val="000000"/>
          <w:sz w:val="20"/>
          <w:szCs w:val="20"/>
        </w:rPr>
        <w:t>-  stosując</w:t>
      </w:r>
      <w:proofErr w:type="gramEnd"/>
      <w:r w:rsidRPr="001A319E">
        <w:rPr>
          <w:rFonts w:ascii="Arial" w:hAnsi="Arial" w:cs="Arial"/>
          <w:color w:val="000000"/>
          <w:sz w:val="20"/>
          <w:szCs w:val="20"/>
        </w:rPr>
        <w:t xml:space="preserve"> nowoczesne narzędzia sprawniej można z</w:t>
      </w:r>
      <w:r>
        <w:rPr>
          <w:rFonts w:ascii="Arial" w:hAnsi="Arial" w:cs="Arial"/>
          <w:color w:val="000000"/>
          <w:sz w:val="20"/>
          <w:szCs w:val="20"/>
        </w:rPr>
        <w:t xml:space="preserve">mierzyć </w:t>
      </w:r>
      <w:r w:rsidRPr="001A319E">
        <w:rPr>
          <w:rFonts w:ascii="Arial" w:hAnsi="Arial" w:cs="Arial"/>
          <w:color w:val="000000"/>
          <w:sz w:val="20"/>
          <w:szCs w:val="20"/>
        </w:rPr>
        <w:t xml:space="preserve">ich efektywność, a co za tym  idzie wydatkowanie pieniędzy podatników w tym obszarze w mniemaniu Wnioskodawcy -  będzie efektywniejsze, lege artis, </w:t>
      </w:r>
      <w:proofErr w:type="spellStart"/>
      <w:r w:rsidRPr="001A319E">
        <w:rPr>
          <w:rFonts w:ascii="Arial" w:hAnsi="Arial" w:cs="Arial"/>
          <w:color w:val="000000"/>
          <w:sz w:val="20"/>
          <w:szCs w:val="20"/>
        </w:rPr>
        <w:t>etc</w:t>
      </w:r>
      <w:proofErr w:type="spellEnd"/>
      <w:r w:rsidRPr="001A319E">
        <w:rPr>
          <w:rFonts w:ascii="Arial" w:hAnsi="Arial" w:cs="Arial"/>
          <w:color w:val="000000"/>
          <w:sz w:val="20"/>
          <w:szCs w:val="20"/>
        </w:rPr>
        <w:t> </w:t>
      </w:r>
    </w:p>
    <w:p w14:paraId="33DBFE55" w14:textId="77777777" w:rsidR="001A319E" w:rsidRPr="001A319E" w:rsidRDefault="001A319E" w:rsidP="001A319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A319E">
        <w:rPr>
          <w:rFonts w:ascii="Arial" w:hAnsi="Arial" w:cs="Arial"/>
          <w:color w:val="000000"/>
          <w:sz w:val="20"/>
          <w:szCs w:val="20"/>
        </w:rPr>
        <w:t xml:space="preserve"> Wszystko to być może </w:t>
      </w:r>
      <w:proofErr w:type="gramStart"/>
      <w:r w:rsidRPr="001A319E">
        <w:rPr>
          <w:rFonts w:ascii="Arial" w:hAnsi="Arial" w:cs="Arial"/>
          <w:color w:val="000000"/>
          <w:sz w:val="20"/>
          <w:szCs w:val="20"/>
        </w:rPr>
        <w:t>pozwoli  aby</w:t>
      </w:r>
      <w:proofErr w:type="gramEnd"/>
      <w:r w:rsidRPr="001A319E">
        <w:rPr>
          <w:rFonts w:ascii="Arial" w:hAnsi="Arial" w:cs="Arial"/>
          <w:color w:val="000000"/>
          <w:sz w:val="20"/>
          <w:szCs w:val="20"/>
        </w:rPr>
        <w:t xml:space="preserve"> działania  - były wykonywane w większym stopniu - zgodnie z wytycznymi  Najwyższej Izby Kontroli pod kątem (…)"</w:t>
      </w:r>
      <w:r w:rsidRPr="001A319E">
        <w:rPr>
          <w:rFonts w:ascii="ArialMT" w:hAnsi="ArialMT" w:cs="Arial"/>
          <w:b/>
          <w:bCs/>
          <w:color w:val="000000"/>
          <w:sz w:val="20"/>
          <w:szCs w:val="20"/>
        </w:rPr>
        <w:t>analizy potrzeb oraz określenia wskaźników osiągania celów i zadań promocyjnych oraz monitorowania i dokonywania analizy osiągniętych efektów działań promocyjnych,</w:t>
      </w:r>
      <w:r w:rsidRPr="001A319E">
        <w:rPr>
          <w:rFonts w:ascii="Arial" w:hAnsi="Arial" w:cs="Arial"/>
          <w:color w:val="000000"/>
          <w:sz w:val="20"/>
          <w:szCs w:val="20"/>
        </w:rPr>
        <w:t> (…)</w:t>
      </w:r>
    </w:p>
    <w:p w14:paraId="19B8D7C6" w14:textId="77777777" w:rsidR="001A319E" w:rsidRPr="001A319E" w:rsidRDefault="001A319E" w:rsidP="001A319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A319E">
        <w:rPr>
          <w:rFonts w:ascii="Arial" w:hAnsi="Arial" w:cs="Arial"/>
          <w:color w:val="000000"/>
          <w:sz w:val="20"/>
          <w:szCs w:val="20"/>
        </w:rPr>
        <w:t xml:space="preserve">W mniemaniu wnioskodawcy Sugestie NIK wydają </w:t>
      </w:r>
      <w:proofErr w:type="gramStart"/>
      <w:r w:rsidRPr="001A319E">
        <w:rPr>
          <w:rFonts w:ascii="Arial" w:hAnsi="Arial" w:cs="Arial"/>
          <w:color w:val="000000"/>
          <w:sz w:val="20"/>
          <w:szCs w:val="20"/>
        </w:rPr>
        <w:t>się  zasadne</w:t>
      </w:r>
      <w:proofErr w:type="gramEnd"/>
      <w:r w:rsidRPr="001A319E">
        <w:rPr>
          <w:rFonts w:ascii="Arial" w:hAnsi="Arial" w:cs="Arial"/>
          <w:color w:val="000000"/>
          <w:sz w:val="20"/>
          <w:szCs w:val="20"/>
        </w:rPr>
        <w:t>, a ich streszczenie  Wnioskodawca przywołał na wstępnie cytując niektóre tezy stawiane przez NIK, </w:t>
      </w:r>
    </w:p>
    <w:p w14:paraId="633A990D" w14:textId="77777777" w:rsidR="001A319E" w:rsidRPr="001A319E" w:rsidRDefault="001A319E" w:rsidP="001A319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A319E">
        <w:rPr>
          <w:rFonts w:ascii="Arial" w:hAnsi="Arial" w:cs="Arial"/>
          <w:color w:val="000000"/>
          <w:sz w:val="20"/>
          <w:szCs w:val="20"/>
        </w:rPr>
        <w:t xml:space="preserve">Przypominamy, że Wnioskodawca uzyskał dostęp do rzeczonych protokołów   - na stronach WWW - nik.gov.pl. i są to materiały łatwo dostępne w sieci </w:t>
      </w:r>
      <w:proofErr w:type="gramStart"/>
      <w:r w:rsidRPr="001A319E">
        <w:rPr>
          <w:rFonts w:ascii="Arial" w:hAnsi="Arial" w:cs="Arial"/>
          <w:color w:val="000000"/>
          <w:sz w:val="20"/>
          <w:szCs w:val="20"/>
        </w:rPr>
        <w:t>Internet .</w:t>
      </w:r>
      <w:proofErr w:type="gramEnd"/>
      <w:r w:rsidRPr="001A319E">
        <w:rPr>
          <w:rFonts w:ascii="Arial" w:hAnsi="Arial" w:cs="Arial"/>
          <w:color w:val="000000"/>
          <w:sz w:val="20"/>
          <w:szCs w:val="20"/>
        </w:rPr>
        <w:t> </w:t>
      </w:r>
    </w:p>
    <w:p w14:paraId="5A0E648F" w14:textId="77777777" w:rsidR="001A319E" w:rsidRPr="001A319E" w:rsidRDefault="001A319E" w:rsidP="001A319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A319E">
        <w:rPr>
          <w:rFonts w:ascii="Arial" w:hAnsi="Arial" w:cs="Arial"/>
          <w:b/>
          <w:bCs/>
          <w:color w:val="000000"/>
          <w:sz w:val="20"/>
          <w:szCs w:val="20"/>
        </w:rPr>
        <w:t>Wydatkowanie pieniędzy podatników</w:t>
      </w:r>
      <w:r w:rsidRPr="001A319E">
        <w:rPr>
          <w:rStyle w:val="apple-converted-space"/>
          <w:rFonts w:ascii="Arial" w:eastAsiaTheme="majorEastAsia" w:hAnsi="Arial" w:cs="Arial"/>
          <w:b/>
          <w:bCs/>
          <w:color w:val="000000"/>
          <w:sz w:val="20"/>
          <w:szCs w:val="20"/>
        </w:rPr>
        <w:t> </w:t>
      </w:r>
      <w:r w:rsidRPr="001A319E">
        <w:rPr>
          <w:rFonts w:ascii="Arial" w:hAnsi="Arial" w:cs="Arial"/>
          <w:color w:val="000000"/>
          <w:sz w:val="20"/>
          <w:szCs w:val="20"/>
        </w:rPr>
        <w:t xml:space="preserve">w tym obszarze powinno być pod szczególną kontrolą społeczną - gdyż efektem tych działań nie są lepsze drogi, lepsze wodociągi lepszy poziom szkolnictwa (takie działania łatwiej ocenić w ramach bezpośrednich oględzin popartych doświadczeniem </w:t>
      </w:r>
      <w:proofErr w:type="gramStart"/>
      <w:r w:rsidRPr="001A319E">
        <w:rPr>
          <w:rFonts w:ascii="Arial" w:hAnsi="Arial" w:cs="Arial"/>
          <w:color w:val="000000"/>
          <w:sz w:val="20"/>
          <w:szCs w:val="20"/>
        </w:rPr>
        <w:t>obserwatora)  -</w:t>
      </w:r>
      <w:proofErr w:type="gramEnd"/>
      <w:r w:rsidRPr="001A319E">
        <w:rPr>
          <w:rFonts w:ascii="Arial" w:hAnsi="Arial" w:cs="Arial"/>
          <w:color w:val="000000"/>
          <w:sz w:val="20"/>
          <w:szCs w:val="20"/>
        </w:rPr>
        <w:t xml:space="preserve"> natomiast efekty wydatków promocyjnych  są najczęściej widoczne pośrednio -  w ramach stopniowo zwiększających się przychodów gminy i publicity w skali makro. </w:t>
      </w:r>
    </w:p>
    <w:p w14:paraId="75349DCF" w14:textId="77777777" w:rsidR="001A319E" w:rsidRPr="001A319E" w:rsidRDefault="001A319E" w:rsidP="001A319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E97028F" w14:textId="77777777" w:rsidR="001A319E" w:rsidRPr="001A319E" w:rsidRDefault="001A319E" w:rsidP="001A319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A319E">
        <w:rPr>
          <w:rFonts w:ascii="Arial" w:hAnsi="Arial" w:cs="Arial"/>
          <w:b/>
          <w:bCs/>
          <w:color w:val="000000"/>
          <w:sz w:val="20"/>
          <w:szCs w:val="20"/>
        </w:rPr>
        <w:t>Jeśli stan faktyczny wygląda rzeczywiście taki jak wynika to z wniosków NIK - wszyscy mamy obowiązek dbać o racjonalne wydatkowanie pieniędzy podatników w tym obszarze. </w:t>
      </w:r>
    </w:p>
    <w:p w14:paraId="024A2B9A" w14:textId="77777777" w:rsidR="001A319E" w:rsidRPr="001A319E" w:rsidRDefault="001A319E" w:rsidP="001A319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A319E">
        <w:rPr>
          <w:rFonts w:ascii="Arial" w:hAnsi="Arial" w:cs="Arial"/>
          <w:b/>
          <w:bCs/>
          <w:color w:val="000000"/>
          <w:sz w:val="20"/>
          <w:szCs w:val="20"/>
        </w:rPr>
        <w:t>Mamy jedynie nadzieję, że wnioski podjęte przez NIK są przesadnie rygorystyczne</w:t>
      </w:r>
      <w:r w:rsidRPr="001A319E">
        <w:rPr>
          <w:rFonts w:ascii="Arial" w:hAnsi="Arial" w:cs="Arial"/>
          <w:color w:val="000000"/>
          <w:sz w:val="20"/>
          <w:szCs w:val="20"/>
        </w:rPr>
        <w:t>, a nasza petycja przyczyni się do naprawy tego stanu faktycznego. </w:t>
      </w:r>
    </w:p>
    <w:p w14:paraId="72776BF7" w14:textId="77777777" w:rsidR="001A319E" w:rsidRDefault="001A319E" w:rsidP="001A319E"/>
    <w:p w14:paraId="71D33F27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Oczywiście ABY NASZA PETYCJA NIE BYŁA W ŻADNYM RAZIE ŁĄCZONA Z PÓŹNIEJSZYM ewentualnym trybem zamówienia  nie musimy dodawać, że jesteśmy przekonani, iż ewentualne postępowanie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dot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 xml:space="preserve"> wyłonienia Usługodawców będących beneficjentem - postępowań związanych z promocją gminy i podnoszenia kwalifikacji urzędników -  będzie prowadzone z uwzględnieniem zasad uczciwej konkurencji - i o wyborze oferenta będą decydować jedynie  ustalone przez decydentów kryteria związane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inter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223994">
        <w:rPr>
          <w:rFonts w:ascii="Arial" w:hAnsi="Arial" w:cs="Arial"/>
          <w:color w:val="000000"/>
          <w:sz w:val="20"/>
          <w:szCs w:val="20"/>
        </w:rPr>
        <w:t>alia</w:t>
      </w:r>
      <w:proofErr w:type="spellEnd"/>
      <w:r w:rsidRPr="00223994">
        <w:rPr>
          <w:rFonts w:ascii="Arial" w:hAnsi="Arial" w:cs="Arial"/>
          <w:color w:val="000000"/>
          <w:sz w:val="20"/>
          <w:szCs w:val="20"/>
        </w:rPr>
        <w:t xml:space="preserve"> z aktualnym stanem prawnym, oraz racjonalnym wydatkowaniem środków publicznych.   </w:t>
      </w:r>
    </w:p>
    <w:p w14:paraId="502AADE2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 </w:t>
      </w:r>
    </w:p>
    <w:p w14:paraId="105D948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II.2) Aby zachować pełną jawność i transparentność działań - wnosimy o opublikowanie treści petycji na stronie internetowej podmiotu rozpatrującego petycję lub urzędu go obsługującego (</w:t>
      </w:r>
      <w:proofErr w:type="gramStart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>Adresata)  -</w:t>
      </w:r>
      <w:proofErr w:type="gramEnd"/>
      <w:r w:rsidRPr="00223994">
        <w:rPr>
          <w:rFonts w:ascii="Arial" w:hAnsi="Arial" w:cs="Arial"/>
          <w:b/>
          <w:bCs/>
          <w:color w:val="000000"/>
          <w:sz w:val="20"/>
          <w:szCs w:val="20"/>
        </w:rPr>
        <w:t xml:space="preserve"> na podstawie art. 8 ust. 1 ww. Ustawy o petycjach   - co jest jednoznaczne z wyrażeniem zgody na publikację wszystkich danych. Chcemy działać w pełni jawnie i transparentnie. </w:t>
      </w:r>
    </w:p>
    <w:p w14:paraId="71183903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95021D9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22F621E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ED3DC0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§10) Wnosimy o zwrotne potwierdzenie otrzymania niniejszego wniosku w trybie §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7  Rozporządzenia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Prezesa Rady Ministrów z dnia 8 stycznia 2002 r. w sprawie organizacji przyjmowania i rozpatrywania s. i wniosków. (Dz. U. z dnia 22 styczna 2002 r. Nr 5, poz. 46)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-  na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adres podnoszenie-wiedzy@samorzad.pl  </w:t>
      </w:r>
    </w:p>
    <w:p w14:paraId="70AD1584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§10a) Wnosimy o to, aby odpowiedź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w  przedmiocie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powyższych pytań i petycji złożonych na mocy art. 63 Konstytucji RP - w związku z art.  241 KPA, została udzielona - zwrotnie na adres podnoszenie-wiedzy@samorzad.pl </w:t>
      </w:r>
    </w:p>
    <w:p w14:paraId="3B1F5766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C68B3DB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lastRenderedPageBreak/>
        <w:t>Wniosek został sygnowany profilem zaufanym lub kwalifikowanym podpisem elektronicznym - stosownie do wytycznych Ustawy z dnia 5 września 2016 r. o usługach zaufania oraz identyfikacji elektronicznej (Dz.U.2016.1579 dnia 2016.09.29)</w:t>
      </w:r>
    </w:p>
    <w:p w14:paraId="17C89D32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6434954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Wnioskodawca: </w:t>
      </w:r>
    </w:p>
    <w:p w14:paraId="5E60DDE7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Osoba Prawna</w:t>
      </w:r>
    </w:p>
    <w:p w14:paraId="452DBE36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Szulc-Euphenics.com</w:t>
      </w:r>
      <w:r w:rsidRPr="00223994">
        <w:rPr>
          <w:rFonts w:ascii="Arial" w:hAnsi="Arial" w:cs="Arial"/>
          <w:color w:val="000000"/>
          <w:sz w:val="20"/>
          <w:szCs w:val="20"/>
        </w:rPr>
        <w:t> p. Spółka Akcyjna </w:t>
      </w:r>
    </w:p>
    <w:p w14:paraId="06E6E88D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Prezes Zarządu - Adam Szulc </w:t>
      </w:r>
    </w:p>
    <w:p w14:paraId="63740EE9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ul. Poligonowa 1</w:t>
      </w:r>
    </w:p>
    <w:p w14:paraId="766CE87E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04-051 Warszawa</w:t>
      </w:r>
    </w:p>
    <w:p w14:paraId="4B202089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tel. 608-318-418 </w:t>
      </w:r>
    </w:p>
    <w:p w14:paraId="2A8CFDDD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nr KRS: 0001 007 117</w:t>
      </w:r>
    </w:p>
    <w:p w14:paraId="7DF3D5CE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hyperlink r:id="rId6" w:history="1">
        <w:r w:rsidRPr="00223994">
          <w:rPr>
            <w:rFonts w:ascii="ArialMT" w:hAnsi="ArialMT" w:cs="Arial"/>
            <w:color w:val="0000FF"/>
            <w:sz w:val="20"/>
            <w:szCs w:val="20"/>
            <w:u w:val="single"/>
          </w:rPr>
          <w:t>www.gmina.pl</w:t>
        </w:r>
      </w:hyperlink>
      <w:r w:rsidRPr="00223994">
        <w:rPr>
          <w:rFonts w:ascii="ArialMT" w:hAnsi="ArialMT" w:cs="Arial"/>
          <w:color w:val="000000"/>
          <w:sz w:val="20"/>
          <w:szCs w:val="20"/>
        </w:rPr>
        <w:t>    </w:t>
      </w:r>
    </w:p>
    <w:p w14:paraId="0E5E4DD4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52DC7995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>Stosownie do art. 4 ust. 2 pkt. 1 Ustawy o petycjach (Dz.U.2014.1195 z dnia 2014.09.05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)  Imię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i nazwisko osoby reprezentującej Podmiot wnoszący petycję ujawnione jest powyżej  </w:t>
      </w:r>
    </w:p>
    <w:p w14:paraId="6F31327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23994">
        <w:rPr>
          <w:rFonts w:ascii="Arial" w:hAnsi="Arial" w:cs="Arial"/>
          <w:color w:val="000000"/>
          <w:sz w:val="20"/>
          <w:szCs w:val="20"/>
        </w:rPr>
        <w:t xml:space="preserve">Stosownie do art. 4 ust. 2 pkt. 5 ww. Ustawy </w:t>
      </w:r>
      <w:proofErr w:type="gramStart"/>
      <w:r w:rsidRPr="00223994">
        <w:rPr>
          <w:rFonts w:ascii="Arial" w:hAnsi="Arial" w:cs="Arial"/>
          <w:color w:val="000000"/>
          <w:sz w:val="20"/>
          <w:szCs w:val="20"/>
        </w:rPr>
        <w:t>-  petycja</w:t>
      </w:r>
      <w:proofErr w:type="gramEnd"/>
      <w:r w:rsidRPr="00223994">
        <w:rPr>
          <w:rFonts w:ascii="Arial" w:hAnsi="Arial" w:cs="Arial"/>
          <w:color w:val="000000"/>
          <w:sz w:val="20"/>
          <w:szCs w:val="20"/>
        </w:rPr>
        <w:t xml:space="preserve"> niniejsza została złożona za pomocą środków komunikacji elektronicznej, sygnowana podpisem elektronicznym (który ujawnia dodatkowe dane), a adres ujawniony expressis verbis w petycji jest wskazanym zwrotnym adresem e-mail.</w:t>
      </w:r>
    </w:p>
    <w:p w14:paraId="4D6A5AFF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431B90A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Zwyczajowy komentarz do Wniosku:</w:t>
      </w:r>
    </w:p>
    <w:p w14:paraId="0294644B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 </w:t>
      </w:r>
    </w:p>
    <w:p w14:paraId="11D83271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Adresat jest jednoznacznie identyfikowany - na podstawie - unikalnego adresu e-mail opublikowanego w Biuletynie Informacji Publicznej Jednostki i przypisanego do odnośnego Organu.</w:t>
      </w:r>
    </w:p>
    <w:p w14:paraId="2E13DE70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Rzeczony adres e-mail - zgodnie z dyspozycją art. 1 i 8 ustawy o dostępie do informacji publicznej - stanowiąc informację pewną i potwierdzoną - jednoznacznie oznacza adresata petycji/wniosku. (Oznaczenie adresata petycji/wniosku) </w:t>
      </w:r>
    </w:p>
    <w:p w14:paraId="4B4940CF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Pomimo, iż w rzeczonym wniosku powołujemy się na art. 241 Ustawy z dnia 14 czerwca 1960 r. Kodeks postępowania administracyjnego (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t.j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. Dz. U. z 2021 r. poz.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735 ,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2052)   -  w naszym mniemaniu - nie oznacza to, że Urząd powinien rozpatrywać niniejsze wnioski w trybie KPA  - należy w tym przypadku zawsze stosować art. 222 KPA. </w:t>
      </w:r>
    </w:p>
    <w:p w14:paraId="54482209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W opinii Wnioskodawcy Urząd powinien w zależności od dokonanej interpretacji treści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pisma  -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procedować nasze wnioski  -  ad exemplum w trybie Ustawy o petycjach (Dz.U.2014.1195 z dnia 2014.09.05)  lub odpowiednio Ustawy o dostępie do informacji publicznej (wynika to zazwyczaj z jego treści i powołanych podstaw prawnych) - lub stosować art. 222KPA </w:t>
      </w:r>
    </w:p>
    <w:p w14:paraId="6E4E8F21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Zatem - wg. Wnioskodawcy niniejszy wniosek może być jedynie fakultatywnie rozpatrywany - jako optymalizacyjny w związku z art. 241 KPA. </w:t>
      </w:r>
    </w:p>
    <w:p w14:paraId="56D5D95A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W naszych wnioskach/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petycjach  często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powołujemy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sie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65002EFB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Każdy Podmiot mający styczność z Urzędem - ma prawo i obowiązek - usprawniać struktury administracji samorządowej i każdy Podmiot bez wyjątku ma obowiązek walczyć o lepszą przyszłość dla Polski. </w:t>
      </w:r>
    </w:p>
    <w:p w14:paraId="5317327E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Zatem pomimo formy zewnętrznej - Decydenci mogą/powinni dokonać własnej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interpretacji  -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zgodnie z brzmieniem art. 222 KPA. </w:t>
      </w:r>
    </w:p>
    <w:p w14:paraId="3BF8E769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56D2869A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Nazwa Wnioskodawca/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Petycjodawca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 - jest dla uproszczenia stosowna jako synonim nazwy “Podmiot Wnoszący Petycję” - w rozumieniu art. 4 ust. 4 Ustawy o petycjach (Dz.U.2014.1195 z dnia 2014.09.05) </w:t>
      </w:r>
    </w:p>
    <w:p w14:paraId="6582AB84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60FAE488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Pozwalamy sobie również przypomnieć,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że  ipso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iure art. 2 ust. 2 Ustawy o dostępie do informacji publicznej “ (…) Od osoby wykonującej prawo do informacji publicznej nie wolno żądać wykazania interesu prawnego lub faktycznego.</w:t>
      </w:r>
    </w:p>
    <w:p w14:paraId="141E1FBC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62B4191B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Wnioskodawca   - pro forma podpisał - niniejszy wniosek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-  bezpiecznym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Publicznej  -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w celu lepszego zaspokajania potrzeb ludności. Do wniosku dołączono plik podpisany bezpiecznym </w:t>
      </w:r>
      <w:r w:rsidRPr="00223994">
        <w:rPr>
          <w:rFonts w:ascii="ArialMT" w:hAnsi="ArialMT" w:cs="Arial"/>
          <w:color w:val="000000"/>
          <w:sz w:val="20"/>
          <w:szCs w:val="20"/>
        </w:rPr>
        <w:lastRenderedPageBreak/>
        <w:t xml:space="preserve">kwalifikowanym podpisem elektronicznym, zawiera on taką samą treść, jak ta która znajduje się w niniejszej wiadomości e-mail.  Weryfikacja podpisu i odczytanie pliku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wymaga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posiadania oprogramowania, które bez ponoszenia opłat, można uzyskać na stronach WWW podmiotów - zgodnie z ustawą, świadczących usługi certyfikacyjne. </w:t>
      </w:r>
    </w:p>
    <w:p w14:paraId="32340849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112EAC71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Celem naszych wniosków jest - sensu largo - usprawnienie, naprawa - na miarę istniejących możliwości - funkcjonowania struktur Administracji Publicznej - głownie w Gminach/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Miastach  -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gdzie jak wynika z naszych wniosków - stan faktyczny wymaga wszczęcia procedur sanacyjnych. </w:t>
      </w:r>
    </w:p>
    <w:p w14:paraId="469A2F4F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2415D5BF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W Jednostkach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Centralnych  -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stan faktyczny jest o wiele lepszy.  </w:t>
      </w:r>
    </w:p>
    <w:p w14:paraId="74B5D760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7F1479A7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-  archiwizowanie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>, również wszystkich niezamówionych ofert, a co dopiero petycji i wniosków optymalizacyjnych. Cieszy nas ten fakt niemiernie, przyczyni się z pewnością do większej rozwagi w wydatkowaniu środków publicznych. </w:t>
      </w:r>
    </w:p>
    <w:p w14:paraId="4F8BFE91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Duża ilość powoływanych przepisów prawa w przedmiotowym wniosku, wiąże się z tym, że chcemy uniknąć wyjaśniania intencji i podstaw prawnych w rozmowach telefonicznych - co rzadko,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ale jednak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>, ciągle ma miejsce w przypadku nielicznych JST.</w:t>
      </w:r>
    </w:p>
    <w:p w14:paraId="48B1E71A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Jeżeli JST nie zgadza się z powołanymi przepisami prawa,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prosimy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aby zastosowano podstawy prawne akceptowane przez JST.</w:t>
      </w:r>
    </w:p>
    <w:p w14:paraId="6BFBB5E5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Dobro Petenta i jawność życia publicznego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jest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327E1026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293E4252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Pamiętajmy również o przepisach zawartych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inter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alia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>: w art. 225 KPA: 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wniosku.”</w:t>
      </w:r>
    </w:p>
    <w:p w14:paraId="54830653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Jeśli do przedmiotowego wniosku dołączono petycję - należy uznać, że Stosownie do art. 4 ust. 2 pkt. 1 Ustawy o petycjach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( tj.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Dz.U. 2018 poz. 870)  -  osobą reprezentująca Podmiot wnoszący petycję - jest Prezes Zarządu wskazany w stopce </w:t>
      </w:r>
    </w:p>
    <w:p w14:paraId="41968361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*Stosownie do art. 4 ust. 2 pkt. 5 ww. Ustawy - petycja niniejsza została złożona za pomocą środków komunikacji elektronicznej - a wskazanym zwrotnym adresem poczty elektronicznej jest skrzynka poczty elektronicznej Adresata ujawniona w BIP i z BIP pozyskana przez wnioskodawcę/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petycjodawcę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,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etc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> </w:t>
      </w:r>
    </w:p>
    <w:p w14:paraId="463B094A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Adresatem Petycji - jest Organ ujawniony w komparycji.</w:t>
      </w:r>
    </w:p>
    <w:p w14:paraId="61E028AF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Kierownik Jednostki Samorządu Terytorialnego (dalej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JST)  -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w rozumieniu art. 33 ust. 3 Ustawy o samorządzie gminnym</w:t>
      </w:r>
    </w:p>
    <w:p w14:paraId="6F85A261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74B35726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1F234D02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Postulujemy, ABY NASZA PETYCJA NIE BYŁA W ŻADNYM RAZIE ŁĄCZONA Z PÓŹNIEJSZYM jakimkolwiek trybem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zamówienia  nie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musimy dodawać, że mamy nadzieję, iż wszelkie postępowania będą  prowadzone z uwzględnieniem zasad uczciwej konkurencji - i o wyborze oferenta będą decydować jedynie ustalone przez decydentów kryteria związane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inter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alia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 z parametrami ofert oraz ceną. </w:t>
      </w:r>
    </w:p>
    <w:p w14:paraId="284E177A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56E75D50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Oczywiście - wszelkie ewentualne postępowania - ogłoszone przez Jednostkę Administracji Publicznej - będące następstwem niniejszego wniosku - należy przeprowadzić zgodnie z rygorystycznymi zasadami wydatkowania środków publicznych </w:t>
      </w:r>
      <w:proofErr w:type="gramStart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>-  z</w:t>
      </w:r>
      <w:proofErr w:type="gramEnd"/>
      <w:r w:rsidRPr="00223994">
        <w:rPr>
          <w:rFonts w:ascii="ArialMT" w:hAnsi="ArialMT" w:cs="Arial"/>
          <w:b/>
          <w:bCs/>
          <w:color w:val="000000"/>
          <w:sz w:val="20"/>
          <w:szCs w:val="20"/>
        </w:rPr>
        <w:t xml:space="preserve"> uwzględnieniem stosowania zasad uczciwej konkurencji, przejrzystości i transparentności -  zatem w pełni lege artis. </w:t>
      </w:r>
    </w:p>
    <w:p w14:paraId="04F3B689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Ponownie sygnalizujemy, że do wniosku dołączono plik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podpisany  profilem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zaufanym lub kwalifikowanym podpisem elektronicznym.  Weryfikacja podpisu i odczytanie pliku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wymaga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posiadania oprogramowania, które bez ponoszenia opłat, można uzyskać na stronach WWW podmiotów - zgodnie z ustawą, świadczących usługi certyfikacyjne. </w:t>
      </w:r>
    </w:p>
    <w:p w14:paraId="14AE4B89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 xml:space="preserve">Oprócz dokumentu sygnowanego podpisem elektronicznym w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formacie  pdf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- dodatkowo - dla ułatwienia dekretacji u Adresata - wnioskodawca mógł dodać* - pro forma niesygnowany dokument w formacie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docx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. Oba </w:t>
      </w:r>
      <w:proofErr w:type="gramStart"/>
      <w:r w:rsidRPr="00223994">
        <w:rPr>
          <w:rFonts w:ascii="ArialMT" w:hAnsi="ArialMT" w:cs="Arial"/>
          <w:color w:val="000000"/>
          <w:sz w:val="20"/>
          <w:szCs w:val="20"/>
        </w:rPr>
        <w:t>dokumenty  są</w:t>
      </w:r>
      <w:proofErr w:type="gramEnd"/>
      <w:r w:rsidRPr="00223994">
        <w:rPr>
          <w:rFonts w:ascii="ArialMT" w:hAnsi="ArialMT" w:cs="Arial"/>
          <w:color w:val="000000"/>
          <w:sz w:val="20"/>
          <w:szCs w:val="20"/>
        </w:rPr>
        <w:t xml:space="preserve">  zgodne z </w:t>
      </w:r>
      <w:proofErr w:type="spellStart"/>
      <w:r w:rsidRPr="00223994">
        <w:rPr>
          <w:rFonts w:ascii="ArialMT" w:hAnsi="ArialMT" w:cs="Arial"/>
          <w:color w:val="000000"/>
          <w:sz w:val="20"/>
          <w:szCs w:val="20"/>
        </w:rPr>
        <w:t>kontentem</w:t>
      </w:r>
      <w:proofErr w:type="spellEnd"/>
      <w:r w:rsidRPr="00223994">
        <w:rPr>
          <w:rFonts w:ascii="ArialMT" w:hAnsi="ArialMT" w:cs="Arial"/>
          <w:color w:val="000000"/>
          <w:sz w:val="20"/>
          <w:szCs w:val="20"/>
        </w:rPr>
        <w:t xml:space="preserve"> powyższej wiadomości e-mail. </w:t>
      </w:r>
    </w:p>
    <w:p w14:paraId="7D948F39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</w:p>
    <w:p w14:paraId="47477059" w14:textId="77777777" w:rsidR="00223994" w:rsidRPr="00223994" w:rsidRDefault="00223994" w:rsidP="00223994">
      <w:pPr>
        <w:jc w:val="both"/>
        <w:rPr>
          <w:rFonts w:ascii="ArialMT" w:hAnsi="ArialMT" w:cs="Arial"/>
          <w:color w:val="000000"/>
          <w:sz w:val="20"/>
          <w:szCs w:val="20"/>
        </w:rPr>
      </w:pPr>
      <w:r w:rsidRPr="00223994">
        <w:rPr>
          <w:rFonts w:ascii="ArialMT" w:hAnsi="ArialMT" w:cs="Arial"/>
          <w:color w:val="000000"/>
          <w:sz w:val="20"/>
          <w:szCs w:val="20"/>
        </w:rPr>
        <w:t>* - niepotrzebne - pominąć </w:t>
      </w:r>
    </w:p>
    <w:p w14:paraId="1AADDCBA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AF98F9C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3070473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F429321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81353A5" w14:textId="77777777" w:rsidR="00223994" w:rsidRPr="00223994" w:rsidRDefault="00223994" w:rsidP="0022399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7CC81E" w14:textId="77777777" w:rsidR="00223994" w:rsidRPr="00223994" w:rsidRDefault="00223994" w:rsidP="00223994">
      <w:pPr>
        <w:jc w:val="both"/>
        <w:rPr>
          <w:sz w:val="20"/>
          <w:szCs w:val="20"/>
        </w:rPr>
      </w:pPr>
    </w:p>
    <w:p w14:paraId="7803D2D3" w14:textId="77777777" w:rsidR="00223994" w:rsidRPr="00223994" w:rsidRDefault="00223994" w:rsidP="00223994">
      <w:pPr>
        <w:jc w:val="both"/>
        <w:rPr>
          <w:rFonts w:ascii="Arial" w:hAnsi="Arial" w:cs="Arial"/>
          <w:sz w:val="20"/>
          <w:szCs w:val="20"/>
        </w:rPr>
      </w:pPr>
    </w:p>
    <w:sectPr w:rsidR="00223994" w:rsidRPr="00223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94"/>
    <w:rsid w:val="001A319E"/>
    <w:rsid w:val="0022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B16E1E"/>
  <w15:chartTrackingRefBased/>
  <w15:docId w15:val="{24D5F121-147D-144E-A726-A9AC8EF1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319E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9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39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399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399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39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399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399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399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399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39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39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39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39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39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39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39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39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39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39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23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399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23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399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239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399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239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39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39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399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omylnaczcionkaakapitu"/>
    <w:rsid w:val="00223994"/>
  </w:style>
  <w:style w:type="character" w:styleId="Hipercze">
    <w:name w:val="Hyperlink"/>
    <w:basedOn w:val="Domylnaczcionkaakapitu"/>
    <w:uiPriority w:val="99"/>
    <w:semiHidden/>
    <w:unhideWhenUsed/>
    <w:rsid w:val="002239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2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79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2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60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21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23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16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61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15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2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81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21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20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38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5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55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1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03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90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74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89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19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4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5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74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08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72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99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4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59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52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40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45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36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84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75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8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81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15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05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9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43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85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06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25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71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2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68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97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13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30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05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30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1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82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11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22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7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75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18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0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9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17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02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1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60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27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0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91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25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84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0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99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6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30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05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4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48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16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96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35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58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6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27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92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0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07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6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02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35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5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0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37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8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10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32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37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79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48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16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83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87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70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45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13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29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83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67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03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96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9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62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9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8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55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42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6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4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20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0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0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95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65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65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42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6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3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28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1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56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37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20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08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87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64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18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23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77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00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90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65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7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40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09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85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92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11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54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9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43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18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79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8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27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12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505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8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14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58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9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10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72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2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78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9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8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6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14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8454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mina.pl/" TargetMode="External"/><Relationship Id="rId5" Type="http://schemas.openxmlformats.org/officeDocument/2006/relationships/hyperlink" Target="http://nik.gov.pl/" TargetMode="External"/><Relationship Id="rId4" Type="http://schemas.openxmlformats.org/officeDocument/2006/relationships/hyperlink" Target="http://nik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4240</Words>
  <Characters>25445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1</cp:revision>
  <dcterms:created xsi:type="dcterms:W3CDTF">2024-04-04T12:58:00Z</dcterms:created>
  <dcterms:modified xsi:type="dcterms:W3CDTF">2024-04-04T13:40:00Z</dcterms:modified>
</cp:coreProperties>
</file>