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9E81" w14:textId="77777777" w:rsidR="00364BE1" w:rsidRDefault="00336103">
      <w:pPr>
        <w:spacing w:after="0"/>
        <w:jc w:val="right"/>
        <w:rPr>
          <w:rFonts w:ascii="Times New Roman" w:hAnsi="Times New Roman" w:cs="Times New Roman"/>
          <w:sz w:val="24"/>
          <w:szCs w:val="24"/>
        </w:rPr>
      </w:pPr>
      <w:r>
        <w:rPr>
          <w:rFonts w:ascii="Times New Roman" w:hAnsi="Times New Roman" w:cs="Times New Roman"/>
          <w:sz w:val="24"/>
          <w:szCs w:val="24"/>
        </w:rPr>
        <w:t>projekt</w:t>
      </w:r>
    </w:p>
    <w:p w14:paraId="275E96CD" w14:textId="77777777" w:rsidR="00364BE1" w:rsidRDefault="00336103">
      <w:pPr>
        <w:spacing w:after="0"/>
        <w:jc w:val="center"/>
        <w:rPr>
          <w:rFonts w:ascii="Times New Roman" w:hAnsi="Times New Roman" w:cs="Times New Roman"/>
          <w:sz w:val="24"/>
          <w:szCs w:val="24"/>
        </w:rPr>
      </w:pPr>
      <w:r>
        <w:rPr>
          <w:rFonts w:ascii="Times New Roman" w:hAnsi="Times New Roman" w:cs="Times New Roman"/>
          <w:sz w:val="24"/>
          <w:szCs w:val="24"/>
        </w:rPr>
        <w:t>Uchwała Nr …………………….</w:t>
      </w:r>
    </w:p>
    <w:p w14:paraId="72CC0B70" w14:textId="77777777" w:rsidR="00364BE1" w:rsidRDefault="00336103">
      <w:pPr>
        <w:spacing w:after="0"/>
        <w:jc w:val="center"/>
        <w:rPr>
          <w:rFonts w:ascii="Times New Roman" w:hAnsi="Times New Roman" w:cs="Times New Roman"/>
          <w:sz w:val="24"/>
          <w:szCs w:val="24"/>
        </w:rPr>
      </w:pPr>
      <w:r>
        <w:rPr>
          <w:rFonts w:ascii="Times New Roman" w:hAnsi="Times New Roman" w:cs="Times New Roman"/>
          <w:sz w:val="24"/>
          <w:szCs w:val="24"/>
        </w:rPr>
        <w:t>Rady Miejskiej w Reszlu</w:t>
      </w:r>
    </w:p>
    <w:p w14:paraId="18DFC725" w14:textId="77777777" w:rsidR="00364BE1" w:rsidRDefault="00336103">
      <w:pPr>
        <w:spacing w:after="0"/>
        <w:jc w:val="center"/>
        <w:rPr>
          <w:rFonts w:ascii="Times New Roman" w:hAnsi="Times New Roman" w:cs="Times New Roman"/>
          <w:sz w:val="24"/>
          <w:szCs w:val="24"/>
        </w:rPr>
      </w:pPr>
      <w:r>
        <w:rPr>
          <w:rFonts w:ascii="Times New Roman" w:hAnsi="Times New Roman" w:cs="Times New Roman"/>
          <w:sz w:val="24"/>
          <w:szCs w:val="24"/>
        </w:rPr>
        <w:t>z dnia ……………………………….</w:t>
      </w:r>
    </w:p>
    <w:p w14:paraId="5BE788DE" w14:textId="77777777" w:rsidR="00364BE1" w:rsidRDefault="00364BE1">
      <w:pPr>
        <w:spacing w:after="0"/>
        <w:rPr>
          <w:rFonts w:ascii="Times New Roman" w:hAnsi="Times New Roman" w:cs="Times New Roman"/>
          <w:sz w:val="24"/>
          <w:szCs w:val="24"/>
        </w:rPr>
      </w:pPr>
    </w:p>
    <w:p w14:paraId="5C7A8FDA" w14:textId="77777777" w:rsidR="00364BE1" w:rsidRDefault="00336103">
      <w:pPr>
        <w:spacing w:after="0"/>
        <w:rPr>
          <w:rFonts w:ascii="Times New Roman" w:hAnsi="Times New Roman" w:cs="Times New Roman"/>
          <w:b/>
          <w:bCs/>
          <w:sz w:val="24"/>
          <w:szCs w:val="24"/>
        </w:rPr>
      </w:pPr>
      <w:r>
        <w:rPr>
          <w:rFonts w:ascii="Times New Roman" w:hAnsi="Times New Roman" w:cs="Times New Roman"/>
          <w:b/>
          <w:bCs/>
          <w:sz w:val="24"/>
          <w:szCs w:val="24"/>
        </w:rPr>
        <w:t xml:space="preserve">w sprawie: zmiany uchwały w sprawie określenia zasad przyznawania dotacji na prace </w:t>
      </w:r>
    </w:p>
    <w:p w14:paraId="07F7225B" w14:textId="14C2EE80" w:rsidR="00364BE1" w:rsidRDefault="00336103" w:rsidP="00346573">
      <w:pPr>
        <w:spacing w:after="0"/>
        <w:jc w:val="both"/>
        <w:rPr>
          <w:rFonts w:ascii="Times New Roman" w:hAnsi="Times New Roman" w:cs="Times New Roman"/>
          <w:b/>
          <w:bCs/>
          <w:sz w:val="24"/>
          <w:szCs w:val="24"/>
        </w:rPr>
      </w:pPr>
      <w:r>
        <w:rPr>
          <w:rFonts w:ascii="Times New Roman" w:hAnsi="Times New Roman" w:cs="Times New Roman"/>
          <w:b/>
          <w:bCs/>
          <w:sz w:val="24"/>
          <w:szCs w:val="24"/>
        </w:rPr>
        <w:t>konserwatorskie, restauratorskie i roboty budowlane przy zabytk</w:t>
      </w:r>
      <w:r w:rsidR="00346573">
        <w:rPr>
          <w:rFonts w:ascii="Times New Roman" w:hAnsi="Times New Roman" w:cs="Times New Roman"/>
          <w:b/>
          <w:bCs/>
          <w:sz w:val="24"/>
          <w:szCs w:val="24"/>
        </w:rPr>
        <w:t xml:space="preserve">u </w:t>
      </w:r>
      <w:r>
        <w:rPr>
          <w:rFonts w:ascii="Times New Roman" w:hAnsi="Times New Roman" w:cs="Times New Roman"/>
          <w:b/>
          <w:bCs/>
          <w:sz w:val="24"/>
          <w:szCs w:val="24"/>
        </w:rPr>
        <w:t>wpisanym  do rejestru zabytków usytuowanym na terenie Gminy Reszel</w:t>
      </w:r>
    </w:p>
    <w:p w14:paraId="2EEDAD64" w14:textId="77777777" w:rsidR="00364BE1" w:rsidRDefault="00364BE1">
      <w:pPr>
        <w:spacing w:after="0"/>
        <w:rPr>
          <w:rFonts w:ascii="Times New Roman" w:hAnsi="Times New Roman" w:cs="Times New Roman"/>
          <w:sz w:val="24"/>
          <w:szCs w:val="24"/>
        </w:rPr>
      </w:pPr>
    </w:p>
    <w:p w14:paraId="6F218EDF" w14:textId="77777777" w:rsidR="00364BE1" w:rsidRDefault="00336103">
      <w:pPr>
        <w:spacing w:after="0"/>
        <w:ind w:firstLine="708"/>
        <w:rPr>
          <w:rFonts w:ascii="Times New Roman" w:hAnsi="Times New Roman" w:cs="Times New Roman"/>
          <w:i/>
          <w:iCs/>
          <w:sz w:val="24"/>
          <w:szCs w:val="24"/>
        </w:rPr>
      </w:pPr>
      <w:r>
        <w:rPr>
          <w:rFonts w:ascii="Times New Roman" w:hAnsi="Times New Roman" w:cs="Times New Roman"/>
          <w:i/>
          <w:iCs/>
          <w:sz w:val="24"/>
          <w:szCs w:val="24"/>
        </w:rPr>
        <w:t xml:space="preserve">Na podstawie art. 18 ust. 2 pkt 15 ustawy z dnia 8 marca 1990 roku o samorządzie gminnym ( tj. Dz.U. z 2023r poz.. 40 z </w:t>
      </w:r>
      <w:proofErr w:type="spellStart"/>
      <w:r>
        <w:rPr>
          <w:rFonts w:ascii="Times New Roman" w:hAnsi="Times New Roman" w:cs="Times New Roman"/>
          <w:i/>
          <w:iCs/>
          <w:sz w:val="24"/>
          <w:szCs w:val="24"/>
        </w:rPr>
        <w:t>późn</w:t>
      </w:r>
      <w:proofErr w:type="spellEnd"/>
      <w:r>
        <w:rPr>
          <w:rFonts w:ascii="Times New Roman" w:hAnsi="Times New Roman" w:cs="Times New Roman"/>
          <w:i/>
          <w:iCs/>
          <w:sz w:val="24"/>
          <w:szCs w:val="24"/>
        </w:rPr>
        <w:t xml:space="preserve">. zm. ) w związku z art. 81 ust. 1 ustawy z dnia 23 lipca 2003 roku o ochronie zabytków i opiece nad zabytkami (tj. Dz.U.2022 r.poz.840  z </w:t>
      </w:r>
      <w:proofErr w:type="spellStart"/>
      <w:r>
        <w:rPr>
          <w:rFonts w:ascii="Times New Roman" w:hAnsi="Times New Roman" w:cs="Times New Roman"/>
          <w:i/>
          <w:iCs/>
          <w:sz w:val="24"/>
          <w:szCs w:val="24"/>
        </w:rPr>
        <w:t>późn</w:t>
      </w:r>
      <w:proofErr w:type="spellEnd"/>
      <w:r>
        <w:rPr>
          <w:rFonts w:ascii="Times New Roman" w:hAnsi="Times New Roman" w:cs="Times New Roman"/>
          <w:i/>
          <w:iCs/>
          <w:sz w:val="24"/>
          <w:szCs w:val="24"/>
        </w:rPr>
        <w:t xml:space="preserve">. zm.), </w:t>
      </w:r>
    </w:p>
    <w:p w14:paraId="7572EE08" w14:textId="77777777" w:rsidR="00364BE1" w:rsidRDefault="00364BE1">
      <w:pPr>
        <w:spacing w:after="0"/>
        <w:rPr>
          <w:rFonts w:ascii="Times New Roman" w:hAnsi="Times New Roman" w:cs="Times New Roman"/>
          <w:i/>
          <w:iCs/>
          <w:sz w:val="24"/>
          <w:szCs w:val="24"/>
        </w:rPr>
      </w:pPr>
    </w:p>
    <w:p w14:paraId="55228DD5" w14:textId="77777777" w:rsidR="00364BE1" w:rsidRDefault="00336103">
      <w:pPr>
        <w:spacing w:after="0"/>
        <w:rPr>
          <w:rFonts w:ascii="Times New Roman" w:hAnsi="Times New Roman" w:cs="Times New Roman"/>
          <w:b/>
          <w:bCs/>
          <w:sz w:val="24"/>
          <w:szCs w:val="24"/>
        </w:rPr>
      </w:pPr>
      <w:r>
        <w:rPr>
          <w:rFonts w:ascii="Times New Roman" w:hAnsi="Times New Roman" w:cs="Times New Roman"/>
          <w:b/>
          <w:bCs/>
          <w:sz w:val="24"/>
          <w:szCs w:val="24"/>
        </w:rPr>
        <w:t>uchwala się, co następuje:</w:t>
      </w:r>
    </w:p>
    <w:p w14:paraId="29A817FF" w14:textId="77777777" w:rsidR="00364BE1" w:rsidRDefault="00364BE1">
      <w:pPr>
        <w:spacing w:after="0"/>
        <w:rPr>
          <w:rFonts w:ascii="Times New Roman" w:hAnsi="Times New Roman" w:cs="Times New Roman"/>
          <w:sz w:val="24"/>
          <w:szCs w:val="24"/>
        </w:rPr>
      </w:pPr>
    </w:p>
    <w:p w14:paraId="30AD4F87" w14:textId="77777777" w:rsidR="00364BE1" w:rsidRDefault="00336103">
      <w:pPr>
        <w:spacing w:after="0"/>
        <w:rPr>
          <w:rFonts w:ascii="Times New Roman" w:hAnsi="Times New Roman" w:cs="Times New Roman"/>
          <w:sz w:val="24"/>
          <w:szCs w:val="24"/>
        </w:rPr>
      </w:pPr>
      <w:r>
        <w:rPr>
          <w:rFonts w:ascii="Times New Roman" w:hAnsi="Times New Roman" w:cs="Times New Roman"/>
          <w:b/>
          <w:bCs/>
          <w:sz w:val="24"/>
          <w:szCs w:val="24"/>
        </w:rPr>
        <w:t>§ 1.</w:t>
      </w:r>
      <w:r>
        <w:rPr>
          <w:rFonts w:ascii="Times New Roman" w:hAnsi="Times New Roman" w:cs="Times New Roman"/>
          <w:sz w:val="24"/>
          <w:szCs w:val="24"/>
        </w:rPr>
        <w:t xml:space="preserve"> W Uchwale Nr XXXIX/272/2017 Rady Miejskiej w Reszlu z dnia 29 czerwca 2017 r. w sprawie określenia zasad przyznawania dotacji na prace konserwatorskie, restauratorskie i roboty budowlane przy zabytku wpisanym do rejestru zabytków usytuowanym na terenie Gminy Reszel dokonuje się następujących zmian:</w:t>
      </w:r>
    </w:p>
    <w:p w14:paraId="03D0C93C" w14:textId="77777777" w:rsidR="00364BE1" w:rsidRDefault="00364BE1">
      <w:pPr>
        <w:spacing w:after="0"/>
        <w:rPr>
          <w:rFonts w:ascii="Times New Roman" w:hAnsi="Times New Roman" w:cs="Times New Roman"/>
          <w:sz w:val="24"/>
          <w:szCs w:val="24"/>
        </w:rPr>
      </w:pPr>
    </w:p>
    <w:p w14:paraId="7BC4B871" w14:textId="77777777" w:rsidR="00364BE1" w:rsidRDefault="00336103">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dodaje się w § 4  ust. 4 w brzmieniu:</w:t>
      </w:r>
    </w:p>
    <w:p w14:paraId="44E4C95A" w14:textId="77777777" w:rsidR="00364BE1" w:rsidRDefault="00364BE1">
      <w:pPr>
        <w:spacing w:after="0"/>
        <w:rPr>
          <w:rFonts w:ascii="Times New Roman" w:hAnsi="Times New Roman" w:cs="Times New Roman"/>
          <w:sz w:val="24"/>
          <w:szCs w:val="24"/>
        </w:rPr>
      </w:pPr>
    </w:p>
    <w:p w14:paraId="180D56BE" w14:textId="77777777" w:rsidR="00364BE1" w:rsidRDefault="00336103">
      <w:pPr>
        <w:spacing w:after="0"/>
        <w:rPr>
          <w:rFonts w:ascii="Times New Roman" w:hAnsi="Times New Roman" w:cs="Times New Roman"/>
          <w:sz w:val="24"/>
          <w:szCs w:val="24"/>
        </w:rPr>
      </w:pPr>
      <w:r>
        <w:rPr>
          <w:rFonts w:ascii="Times New Roman" w:hAnsi="Times New Roman" w:cs="Times New Roman"/>
          <w:sz w:val="24"/>
          <w:szCs w:val="24"/>
        </w:rPr>
        <w:t>„4. Wnioski o dotację składa się do Burmistrza Reszla.”.</w:t>
      </w:r>
    </w:p>
    <w:p w14:paraId="52C570B8" w14:textId="77777777" w:rsidR="00364BE1" w:rsidRDefault="00364BE1">
      <w:pPr>
        <w:spacing w:after="0"/>
        <w:rPr>
          <w:rFonts w:ascii="Times New Roman" w:hAnsi="Times New Roman" w:cs="Times New Roman"/>
          <w:sz w:val="24"/>
          <w:szCs w:val="24"/>
        </w:rPr>
      </w:pPr>
    </w:p>
    <w:p w14:paraId="7B82176F" w14:textId="77777777" w:rsidR="00364BE1" w:rsidRDefault="00336103">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 5 otrzymuje brzmienie:</w:t>
      </w:r>
    </w:p>
    <w:p w14:paraId="48CA004C" w14:textId="77777777" w:rsidR="00364BE1" w:rsidRDefault="00364BE1">
      <w:pPr>
        <w:spacing w:after="0"/>
        <w:rPr>
          <w:rFonts w:ascii="Times New Roman" w:hAnsi="Times New Roman" w:cs="Times New Roman"/>
          <w:sz w:val="24"/>
          <w:szCs w:val="24"/>
        </w:rPr>
      </w:pPr>
    </w:p>
    <w:p w14:paraId="087A50EF" w14:textId="77777777" w:rsidR="00364BE1" w:rsidRDefault="00336103">
      <w:pPr>
        <w:spacing w:after="0"/>
        <w:rPr>
          <w:rFonts w:ascii="Times New Roman" w:hAnsi="Times New Roman" w:cs="Times New Roman"/>
          <w:sz w:val="24"/>
          <w:szCs w:val="24"/>
        </w:rPr>
      </w:pPr>
      <w:r>
        <w:rPr>
          <w:rFonts w:ascii="Times New Roman" w:hAnsi="Times New Roman" w:cs="Times New Roman"/>
          <w:sz w:val="24"/>
          <w:szCs w:val="24"/>
        </w:rPr>
        <w:t xml:space="preserve">„§ 5. Wnioskodawcy  może być przyznana dotacja, o której mowa w §2 pkt.2, stanowiąca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zgodnie, z przepisami rozporządzenia Komisji (UE) nr 2023/2831 z dnia 13 grudnia 2023 r. w sprawie stosowania art. 107 i 108 Traktatu o funkcjonowaniu Unii Europejskiej do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(Dz. Urz. UE L 2023.2831 z 15.12.2023)</w:t>
      </w:r>
    </w:p>
    <w:p w14:paraId="577F94D3" w14:textId="77777777" w:rsidR="00364BE1" w:rsidRDefault="00364BE1">
      <w:pPr>
        <w:spacing w:after="0"/>
        <w:rPr>
          <w:rFonts w:ascii="Times New Roman" w:hAnsi="Times New Roman" w:cs="Times New Roman"/>
          <w:sz w:val="24"/>
          <w:szCs w:val="24"/>
        </w:rPr>
      </w:pPr>
    </w:p>
    <w:p w14:paraId="547D3EBD" w14:textId="77777777" w:rsidR="00364BE1" w:rsidRDefault="00364BE1">
      <w:pPr>
        <w:spacing w:after="0"/>
        <w:rPr>
          <w:rFonts w:ascii="Times New Roman" w:hAnsi="Times New Roman" w:cs="Times New Roman"/>
          <w:sz w:val="24"/>
          <w:szCs w:val="24"/>
        </w:rPr>
      </w:pPr>
    </w:p>
    <w:p w14:paraId="63DCBB90" w14:textId="77777777" w:rsidR="00364BE1" w:rsidRDefault="00336103">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 6  otrzymuje brzmienie:</w:t>
      </w:r>
    </w:p>
    <w:p w14:paraId="26147A86" w14:textId="77777777" w:rsidR="00364BE1" w:rsidRDefault="00364BE1">
      <w:pPr>
        <w:spacing w:after="0"/>
        <w:rPr>
          <w:rFonts w:ascii="Times New Roman" w:hAnsi="Times New Roman" w:cs="Times New Roman"/>
          <w:sz w:val="24"/>
          <w:szCs w:val="24"/>
        </w:rPr>
      </w:pPr>
    </w:p>
    <w:p w14:paraId="7AAD4024" w14:textId="77777777" w:rsidR="00364BE1" w:rsidRDefault="00336103">
      <w:pPr>
        <w:pStyle w:val="Zwykytekst"/>
        <w:rPr>
          <w:rFonts w:ascii="Times New Roman" w:hAnsi="Times New Roman" w:cs="Times New Roman"/>
          <w:sz w:val="24"/>
          <w:szCs w:val="24"/>
        </w:rPr>
      </w:pPr>
      <w:r>
        <w:rPr>
          <w:rFonts w:ascii="Times New Roman" w:hAnsi="Times New Roman" w:cs="Times New Roman"/>
          <w:sz w:val="24"/>
          <w:szCs w:val="24"/>
        </w:rPr>
        <w:t>„§ 6. W przypadku dofinansowania stanowiącego pomoc publiczną w rozumieniu art. 107 ust. 1 Traktatu o Funkcjonowaniu Unii Europejskiej, pomoc taka może być udzielana jako:</w:t>
      </w:r>
    </w:p>
    <w:p w14:paraId="6382A0A2" w14:textId="77777777" w:rsidR="00364BE1" w:rsidRDefault="00364BE1">
      <w:pPr>
        <w:pStyle w:val="Zwykytekst"/>
        <w:rPr>
          <w:rFonts w:ascii="Times New Roman" w:hAnsi="Times New Roman" w:cs="Times New Roman"/>
          <w:sz w:val="24"/>
          <w:szCs w:val="24"/>
        </w:rPr>
      </w:pPr>
    </w:p>
    <w:p w14:paraId="255954EC" w14:textId="77777777" w:rsidR="00364BE1" w:rsidRDefault="00336103">
      <w:pPr>
        <w:pStyle w:val="Zwykytekst"/>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na warunkach określonych w szczególności w rozporządzeniu Komisji (UE) 2023/2831 z dnia 13 grudnia 2023 r. w sprawie stosowania art. 107 i 108 Traktatu o funkcjonowaniu Unii Europejskiej do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(Dz. Urz. UE L, 2023/2831 z 15.12.2023) –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dla podmiotów prowadzących działalność gospodarczą w rozumieniu w/w rozporządzenia są dotacje na prace konserwatorskie, restauratorskie i roboty budowlane;</w:t>
      </w:r>
    </w:p>
    <w:p w14:paraId="6F1BB50D" w14:textId="77777777" w:rsidR="00364BE1" w:rsidRDefault="00336103">
      <w:pPr>
        <w:pStyle w:val="Zwykytekst"/>
        <w:ind w:left="-426"/>
        <w:rPr>
          <w:rFonts w:ascii="Times New Roman" w:hAnsi="Times New Roman" w:cs="Times New Roman"/>
          <w:sz w:val="24"/>
          <w:szCs w:val="24"/>
        </w:rPr>
      </w:pPr>
      <w:r>
        <w:rPr>
          <w:rFonts w:ascii="Times New Roman" w:hAnsi="Times New Roman" w:cs="Times New Roman"/>
          <w:b/>
          <w:bCs/>
          <w:sz w:val="24"/>
          <w:szCs w:val="24"/>
        </w:rPr>
        <w:lastRenderedPageBreak/>
        <w:t>2.</w:t>
      </w:r>
      <w:r>
        <w:rPr>
          <w:rFonts w:ascii="Times New Roman" w:hAnsi="Times New Roman" w:cs="Times New Roman"/>
          <w:sz w:val="24"/>
          <w:szCs w:val="24"/>
        </w:rPr>
        <w:t xml:space="preserve"> W przypadku, gdy dotacja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rolnictwie lub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rybołówstwie, o której mowa w ustawie z dnia 30 kwietnia 2004 r. o postępowaniu w sprawach dotyczących pomocy publicznej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703) udzielona została na dofinansowanie kosztów inwestycji dokonywanej na nieruchomości wykorzystywanej do prowadzenia działalności gospodarczej Beneficjent winien przedłożyć: wszystkie zaświadczenia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oraz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rolnictwie lub rybołówstwie, jakie otrzymał w ciągu minionych trzech lat, albo oświadczenia o wielkości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oraz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rolnictwie i rybołówstwie, albo oświadczenie o nieotrzymaniu takiej pomocy w tym okresie oraz informacje określone w rozporządzeniu Rady Ministrów z dnia 29 marca 2010 r. w sprawie zakresu informacji przedstawianych przez podmiot ubiegający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40) albo w Rozporządzeniu Rady Ministrów z dnia 11 czerwca 2010 r. w sprawie informacji składanych przez podmioty ubiegające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rolnictwie lub rybołówstwie (Dz. U. z 2010 r. Nr 121, poz. 810).</w:t>
      </w:r>
    </w:p>
    <w:p w14:paraId="14FDB354" w14:textId="77777777" w:rsidR="00364BE1" w:rsidRDefault="00336103">
      <w:pPr>
        <w:pStyle w:val="Zwykytekst"/>
        <w:ind w:left="-426"/>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 przypadku, gdy dotacja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rolnictwie lub rybołówstwie, udzielanie tej dotacji następuje na zasadach określonych</w:t>
      </w:r>
    </w:p>
    <w:p w14:paraId="63D55DE1" w14:textId="77777777" w:rsidR="00364BE1" w:rsidRDefault="00336103">
      <w:pPr>
        <w:pStyle w:val="Zwykytekst"/>
        <w:rPr>
          <w:rFonts w:ascii="Times New Roman" w:hAnsi="Times New Roman" w:cs="Times New Roman"/>
          <w:sz w:val="24"/>
          <w:szCs w:val="24"/>
        </w:rPr>
      </w:pPr>
      <w:r>
        <w:rPr>
          <w:rFonts w:ascii="Times New Roman" w:hAnsi="Times New Roman" w:cs="Times New Roman"/>
          <w:sz w:val="24"/>
          <w:szCs w:val="24"/>
        </w:rPr>
        <w:t>w:</w:t>
      </w:r>
    </w:p>
    <w:p w14:paraId="0B7F5BB4" w14:textId="77777777" w:rsidR="00364BE1" w:rsidRDefault="00336103">
      <w:pPr>
        <w:pStyle w:val="Zwykytekst"/>
        <w:numPr>
          <w:ilvl w:val="0"/>
          <w:numId w:val="2"/>
        </w:numPr>
        <w:ind w:left="284"/>
        <w:rPr>
          <w:rFonts w:ascii="Times New Roman" w:hAnsi="Times New Roman" w:cs="Times New Roman"/>
          <w:sz w:val="24"/>
          <w:szCs w:val="24"/>
        </w:rPr>
      </w:pPr>
      <w:r>
        <w:rPr>
          <w:rFonts w:ascii="Times New Roman" w:hAnsi="Times New Roman" w:cs="Times New Roman"/>
          <w:sz w:val="24"/>
          <w:szCs w:val="24"/>
        </w:rPr>
        <w:t xml:space="preserve">Rozporządzeniu Komisji (UE) 2023/2831 z dnia 13 grudnia 2023 r. w sprawie stosowania art. 107 i 108 Traktatu o funkcjonowaniu Unii Europejskiej do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takim przypadku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na podstawie niniejszej uchwały może być udzielana do dnia 30 czerwca 2031 r.</w:t>
      </w:r>
    </w:p>
    <w:p w14:paraId="2FEDCF80" w14:textId="77777777" w:rsidR="00364BE1" w:rsidRDefault="00364BE1">
      <w:pPr>
        <w:pStyle w:val="Zwykytekst"/>
        <w:ind w:left="284"/>
        <w:rPr>
          <w:rFonts w:ascii="Times New Roman" w:hAnsi="Times New Roman" w:cs="Times New Roman"/>
          <w:sz w:val="24"/>
          <w:szCs w:val="24"/>
        </w:rPr>
      </w:pPr>
    </w:p>
    <w:p w14:paraId="513E2370" w14:textId="77777777" w:rsidR="00364BE1" w:rsidRDefault="00336103">
      <w:pPr>
        <w:pStyle w:val="Zwykytekst"/>
        <w:numPr>
          <w:ilvl w:val="0"/>
          <w:numId w:val="2"/>
        </w:numPr>
        <w:ind w:left="284"/>
        <w:rPr>
          <w:rFonts w:ascii="Times New Roman" w:hAnsi="Times New Roman" w:cs="Times New Roman"/>
          <w:sz w:val="24"/>
          <w:szCs w:val="24"/>
        </w:rPr>
      </w:pPr>
      <w:r>
        <w:rPr>
          <w:rFonts w:ascii="Times New Roman" w:hAnsi="Times New Roman" w:cs="Times New Roman"/>
          <w:sz w:val="24"/>
          <w:szCs w:val="24"/>
        </w:rPr>
        <w:t xml:space="preserve">Rozporządzenia Komisji (WE) Nr 1408/2013 z dnia 18 grudnia 2013 r. w sprawie stosowania art. 107 i 108 Traktatu o funkcjonowaniu Unii Europejskiej do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sektorze rolnym (Dz. Urz. UE L 352 z 24.122.2023, s. 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 takim przypadku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sektorze rolnym na podstawie niniejszej uchwały może być udzielana do dnia 30 czerwca 2028 r.;</w:t>
      </w:r>
    </w:p>
    <w:p w14:paraId="57E25388" w14:textId="77777777" w:rsidR="00364BE1" w:rsidRDefault="00364BE1">
      <w:pPr>
        <w:pStyle w:val="Zwykytekst"/>
        <w:ind w:left="284"/>
        <w:rPr>
          <w:rFonts w:ascii="Times New Roman" w:hAnsi="Times New Roman" w:cs="Times New Roman"/>
          <w:sz w:val="24"/>
          <w:szCs w:val="24"/>
        </w:rPr>
      </w:pPr>
    </w:p>
    <w:p w14:paraId="20AB6C10" w14:textId="77777777" w:rsidR="00364BE1" w:rsidRDefault="00336103">
      <w:pPr>
        <w:pStyle w:val="Zwykytekst"/>
        <w:numPr>
          <w:ilvl w:val="0"/>
          <w:numId w:val="2"/>
        </w:numPr>
        <w:ind w:left="284"/>
        <w:rPr>
          <w:rFonts w:ascii="Times New Roman" w:hAnsi="Times New Roman" w:cs="Times New Roman"/>
          <w:sz w:val="24"/>
          <w:szCs w:val="24"/>
        </w:rPr>
      </w:pPr>
      <w:r>
        <w:rPr>
          <w:rFonts w:ascii="Times New Roman" w:hAnsi="Times New Roman" w:cs="Times New Roman"/>
          <w:sz w:val="24"/>
          <w:szCs w:val="24"/>
        </w:rPr>
        <w:t xml:space="preserve">Rozporządzenie Komisji (UE) Nr 717/2014 z dnia 27 czerwca 2014 r. w sprawie stosowania art. 107 i 108 Traktatu o funkcjonowaniu Unii Europejskiej do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 sektorze rybołówstwa Dziennik Urzędowy Województwa Warmińsko-Mazurskiego – 3 – Poz. 845 i akwakultury (Dz.U.UE.L.2014.190.45 z dnia 28 czerwca 2014 r.) w takim przypadku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na podstawie niniejszej uchwały może być udzielana do dnia 31 grudnia2029 r.</w:t>
      </w:r>
    </w:p>
    <w:p w14:paraId="6B5D6B9D" w14:textId="77777777" w:rsidR="00364BE1" w:rsidRDefault="00336103">
      <w:pPr>
        <w:spacing w:after="0"/>
        <w:ind w:left="-426"/>
        <w:rPr>
          <w:rFonts w:ascii="Times New Roman" w:hAnsi="Times New Roman" w:cs="Times New Roman"/>
          <w:sz w:val="24"/>
          <w:szCs w:val="24"/>
        </w:rPr>
      </w:pPr>
      <w:r>
        <w:rPr>
          <w:rFonts w:ascii="Times New Roman" w:hAnsi="Times New Roman" w:cs="Times New Roman"/>
          <w:b/>
          <w:bCs/>
          <w:kern w:val="0"/>
          <w:sz w:val="24"/>
          <w:szCs w:val="24"/>
          <w14:ligatures w14:val="none"/>
        </w:rPr>
        <w:t>4</w:t>
      </w:r>
      <w:r>
        <w:rPr>
          <w:rFonts w:ascii="Times New Roman" w:hAnsi="Times New Roman" w:cs="Times New Roman"/>
          <w:kern w:val="0"/>
          <w:sz w:val="24"/>
          <w:szCs w:val="24"/>
          <w14:ligatures w14:val="none"/>
        </w:rPr>
        <w:t xml:space="preserve">. Wniosek o udzielenie dotacji stanowiącej pomoc de </w:t>
      </w:r>
      <w:proofErr w:type="spellStart"/>
      <w:r>
        <w:rPr>
          <w:rFonts w:ascii="Times New Roman" w:hAnsi="Times New Roman" w:cs="Times New Roman"/>
          <w:kern w:val="0"/>
          <w:sz w:val="24"/>
          <w:szCs w:val="24"/>
          <w14:ligatures w14:val="none"/>
        </w:rPr>
        <w:t>minimis</w:t>
      </w:r>
      <w:proofErr w:type="spellEnd"/>
      <w:r>
        <w:rPr>
          <w:rFonts w:ascii="Times New Roman" w:hAnsi="Times New Roman" w:cs="Times New Roman"/>
          <w:kern w:val="0"/>
          <w:sz w:val="24"/>
          <w:szCs w:val="24"/>
          <w14:ligatures w14:val="none"/>
        </w:rPr>
        <w:t xml:space="preserve">, pomoc de </w:t>
      </w:r>
      <w:proofErr w:type="spellStart"/>
      <w:r>
        <w:rPr>
          <w:rFonts w:ascii="Times New Roman" w:hAnsi="Times New Roman" w:cs="Times New Roman"/>
          <w:kern w:val="0"/>
          <w:sz w:val="24"/>
          <w:szCs w:val="24"/>
          <w14:ligatures w14:val="none"/>
        </w:rPr>
        <w:t>minimis</w:t>
      </w:r>
      <w:proofErr w:type="spellEnd"/>
      <w:r>
        <w:rPr>
          <w:rFonts w:ascii="Times New Roman" w:hAnsi="Times New Roman" w:cs="Times New Roman"/>
          <w:kern w:val="0"/>
          <w:sz w:val="24"/>
          <w:szCs w:val="24"/>
          <w14:ligatures w14:val="none"/>
        </w:rPr>
        <w:t xml:space="preserve"> w rolnictwie lub rybołówstwie wraz z przedłożonymi dokumentami, w tym dokumentami, o których mowa w ust. 2, podlega weryfikacji w zakresie zgodności z obowiązującymi przepisami prawa dotyczącymi pomocy publicznej</w:t>
      </w:r>
    </w:p>
    <w:p w14:paraId="79F66303" w14:textId="77777777" w:rsidR="00364BE1" w:rsidRDefault="00364BE1">
      <w:pPr>
        <w:spacing w:after="0"/>
        <w:rPr>
          <w:rFonts w:ascii="Times New Roman" w:hAnsi="Times New Roman" w:cs="Times New Roman"/>
          <w:sz w:val="24"/>
          <w:szCs w:val="24"/>
        </w:rPr>
      </w:pPr>
    </w:p>
    <w:p w14:paraId="7C416964" w14:textId="77777777" w:rsidR="00364BE1" w:rsidRDefault="00336103">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 7 otrzymuje brzmienie:</w:t>
      </w:r>
    </w:p>
    <w:p w14:paraId="7475128B" w14:textId="77777777" w:rsidR="00364BE1" w:rsidRDefault="00364BE1">
      <w:pPr>
        <w:spacing w:after="0"/>
        <w:rPr>
          <w:rFonts w:ascii="Times New Roman" w:hAnsi="Times New Roman" w:cs="Times New Roman"/>
          <w:sz w:val="24"/>
          <w:szCs w:val="24"/>
        </w:rPr>
      </w:pPr>
    </w:p>
    <w:p w14:paraId="4A554A05" w14:textId="77777777" w:rsidR="00364BE1" w:rsidRDefault="00336103">
      <w:pPr>
        <w:spacing w:after="0"/>
        <w:rPr>
          <w:rFonts w:ascii="Times New Roman" w:hAnsi="Times New Roman" w:cs="Times New Roman"/>
          <w:sz w:val="24"/>
          <w:szCs w:val="24"/>
        </w:rPr>
      </w:pPr>
      <w:r>
        <w:rPr>
          <w:rFonts w:ascii="Times New Roman" w:hAnsi="Times New Roman" w:cs="Times New Roman"/>
          <w:sz w:val="24"/>
          <w:szCs w:val="24"/>
        </w:rPr>
        <w:t>„§ 7. W przypadku przystąpienia Gminy Reszel do realizacji programów zewnętrznych dotacja może być udzielona z uwzględnieniem zasad i w wysokości określonej w danym programie”.</w:t>
      </w:r>
    </w:p>
    <w:p w14:paraId="45056E78" w14:textId="77777777" w:rsidR="00364BE1" w:rsidRDefault="00364BE1">
      <w:pPr>
        <w:spacing w:after="0"/>
        <w:rPr>
          <w:rFonts w:ascii="Times New Roman" w:hAnsi="Times New Roman" w:cs="Times New Roman"/>
          <w:sz w:val="24"/>
          <w:szCs w:val="24"/>
        </w:rPr>
      </w:pPr>
    </w:p>
    <w:p w14:paraId="7C6BC476" w14:textId="77777777" w:rsidR="00364BE1" w:rsidRDefault="00336103">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dodaje się § 8a w brzmieniu:</w:t>
      </w:r>
    </w:p>
    <w:p w14:paraId="4D5CDF06" w14:textId="77777777" w:rsidR="00364BE1" w:rsidRDefault="00364BE1">
      <w:pPr>
        <w:pStyle w:val="Akapitzlist"/>
        <w:spacing w:after="0"/>
        <w:rPr>
          <w:rFonts w:ascii="Times New Roman" w:hAnsi="Times New Roman" w:cs="Times New Roman"/>
          <w:sz w:val="24"/>
          <w:szCs w:val="24"/>
        </w:rPr>
      </w:pPr>
    </w:p>
    <w:p w14:paraId="7EE4C244" w14:textId="77777777" w:rsidR="00364BE1" w:rsidRDefault="00336103">
      <w:pPr>
        <w:spacing w:after="0"/>
        <w:rPr>
          <w:rFonts w:ascii="Times New Roman" w:hAnsi="Times New Roman" w:cs="Times New Roman"/>
          <w:sz w:val="24"/>
          <w:szCs w:val="24"/>
        </w:rPr>
      </w:pPr>
      <w:r>
        <w:rPr>
          <w:rFonts w:ascii="Times New Roman" w:hAnsi="Times New Roman" w:cs="Times New Roman"/>
          <w:sz w:val="24"/>
          <w:szCs w:val="24"/>
        </w:rPr>
        <w:t>„8a.1.W przypadku realizacji przez Gminę Reszel programów zewnętrznych, o których mowa w §</w:t>
      </w:r>
      <w:r>
        <w:rPr>
          <w:rFonts w:ascii="Times New Roman" w:hAnsi="Times New Roman" w:cs="Times New Roman"/>
          <w:color w:val="C9211E"/>
          <w:sz w:val="24"/>
          <w:szCs w:val="24"/>
        </w:rPr>
        <w:t xml:space="preserve"> </w:t>
      </w:r>
      <w:r w:rsidRPr="00336103">
        <w:rPr>
          <w:rFonts w:ascii="Times New Roman" w:hAnsi="Times New Roman" w:cs="Times New Roman"/>
          <w:sz w:val="24"/>
          <w:szCs w:val="24"/>
        </w:rPr>
        <w:t>7 niniejszej</w:t>
      </w:r>
      <w:r>
        <w:rPr>
          <w:rFonts w:ascii="Times New Roman" w:hAnsi="Times New Roman" w:cs="Times New Roman"/>
          <w:sz w:val="24"/>
          <w:szCs w:val="24"/>
        </w:rPr>
        <w:t xml:space="preserve"> uchwały, termin złożenia wniosku określa Burmistrz Reszla i podaje go do </w:t>
      </w:r>
      <w:r>
        <w:rPr>
          <w:rFonts w:ascii="Times New Roman" w:hAnsi="Times New Roman" w:cs="Times New Roman"/>
          <w:sz w:val="24"/>
          <w:szCs w:val="24"/>
        </w:rPr>
        <w:lastRenderedPageBreak/>
        <w:t>publicznej wiadomości poprzez publikację na stronie internetowej i  w Biuletynie Informacji Publicznej  Urzędu Gminy w Reszlu.</w:t>
      </w:r>
    </w:p>
    <w:p w14:paraId="28FDA9C9" w14:textId="77777777" w:rsidR="00364BE1" w:rsidRDefault="00336103">
      <w:pPr>
        <w:spacing w:after="0"/>
        <w:rPr>
          <w:rFonts w:ascii="Times New Roman" w:hAnsi="Times New Roman" w:cs="Times New Roman"/>
          <w:sz w:val="24"/>
          <w:szCs w:val="24"/>
        </w:rPr>
      </w:pPr>
      <w:r>
        <w:rPr>
          <w:rFonts w:ascii="Times New Roman" w:hAnsi="Times New Roman" w:cs="Times New Roman"/>
          <w:sz w:val="24"/>
          <w:szCs w:val="24"/>
        </w:rPr>
        <w:t>2.O dacie złożenia wniosku decyduje data wpływu do Urzędu Gminy w Reszlu.</w:t>
      </w:r>
    </w:p>
    <w:p w14:paraId="266739E5" w14:textId="77777777" w:rsidR="00364BE1" w:rsidRDefault="00336103">
      <w:pPr>
        <w:spacing w:after="0"/>
        <w:rPr>
          <w:rFonts w:ascii="Times New Roman" w:hAnsi="Times New Roman" w:cs="Times New Roman"/>
          <w:sz w:val="24"/>
          <w:szCs w:val="24"/>
        </w:rPr>
      </w:pPr>
      <w:r>
        <w:rPr>
          <w:rFonts w:ascii="Times New Roman" w:hAnsi="Times New Roman" w:cs="Times New Roman"/>
          <w:sz w:val="24"/>
          <w:szCs w:val="24"/>
        </w:rPr>
        <w:t>3. Wnioski o dotacje złożone po terminie nie będą rozpatrywane.</w:t>
      </w:r>
    </w:p>
    <w:p w14:paraId="6124D0AB" w14:textId="7A1B018D" w:rsidR="00364BE1" w:rsidRDefault="00336103" w:rsidP="00346573">
      <w:pPr>
        <w:pStyle w:val="Textbody"/>
        <w:spacing w:after="0"/>
        <w:jc w:val="both"/>
        <w:rPr>
          <w:rFonts w:ascii="Times New Roman" w:hAnsi="Times New Roman" w:cs="Times New Roman"/>
          <w:bCs/>
        </w:rPr>
      </w:pPr>
      <w:r>
        <w:rPr>
          <w:rFonts w:ascii="Times New Roman" w:hAnsi="Times New Roman" w:cs="Times New Roman"/>
          <w:bCs/>
        </w:rPr>
        <w:t>4. Złożenie poprawnego pod względem formalnym wniosku o dotację nie jest równoznaczne z</w:t>
      </w:r>
      <w:r w:rsidR="00346573">
        <w:rPr>
          <w:rFonts w:ascii="Times New Roman" w:hAnsi="Times New Roman" w:cs="Times New Roman"/>
          <w:bCs/>
        </w:rPr>
        <w:t> </w:t>
      </w:r>
      <w:r>
        <w:rPr>
          <w:rFonts w:ascii="Times New Roman" w:hAnsi="Times New Roman" w:cs="Times New Roman"/>
          <w:bCs/>
        </w:rPr>
        <w:t>jej przyznaniem i nie gwarantuje również przyznania dotacji we wnioskowanej wysokości. </w:t>
      </w:r>
    </w:p>
    <w:p w14:paraId="5C661F17" w14:textId="77777777" w:rsidR="00364BE1" w:rsidRDefault="00336103" w:rsidP="00346573">
      <w:pPr>
        <w:pStyle w:val="Textbody"/>
        <w:spacing w:after="0"/>
        <w:jc w:val="both"/>
        <w:rPr>
          <w:rFonts w:ascii="Times New Roman" w:hAnsi="Times New Roman" w:cs="Times New Roman"/>
          <w:bCs/>
        </w:rPr>
      </w:pPr>
      <w:r>
        <w:rPr>
          <w:rFonts w:ascii="Times New Roman" w:hAnsi="Times New Roman" w:cs="Times New Roman"/>
          <w:bCs/>
        </w:rPr>
        <w:t>5. Uzyskanie dotacji jest uwarunkowane od posiadanych środków własnych Gminy oraz innych źródeł przeznaczonych na zadania inwestycyjne związane z ochroną zabytków. </w:t>
      </w:r>
    </w:p>
    <w:p w14:paraId="54C38F91" w14:textId="77777777" w:rsidR="00364BE1" w:rsidRDefault="00336103">
      <w:pPr>
        <w:pStyle w:val="Textbody"/>
        <w:spacing w:after="0"/>
        <w:rPr>
          <w:rFonts w:ascii="Times New Roman" w:hAnsi="Times New Roman" w:cs="Times New Roman"/>
          <w:bCs/>
        </w:rPr>
      </w:pPr>
      <w:r>
        <w:rPr>
          <w:rFonts w:ascii="Times New Roman" w:hAnsi="Times New Roman" w:cs="Times New Roman"/>
          <w:bCs/>
        </w:rPr>
        <w:t>6. Wnioski ocenione negatywnie nie podlegają zwrotowi.”.</w:t>
      </w:r>
    </w:p>
    <w:p w14:paraId="6D67A230" w14:textId="77777777" w:rsidR="00364BE1" w:rsidRDefault="00364BE1">
      <w:pPr>
        <w:pStyle w:val="Textbody"/>
        <w:spacing w:after="0"/>
        <w:rPr>
          <w:rFonts w:ascii="Times New Roman" w:hAnsi="Times New Roman" w:cs="Times New Roman"/>
          <w:bCs/>
        </w:rPr>
      </w:pPr>
    </w:p>
    <w:p w14:paraId="3BC5F696" w14:textId="77777777" w:rsidR="00364BE1" w:rsidRDefault="00336103">
      <w:pPr>
        <w:pStyle w:val="Textbody"/>
        <w:spacing w:after="0"/>
        <w:rPr>
          <w:rFonts w:ascii="Times New Roman" w:hAnsi="Times New Roman" w:cs="Times New Roman"/>
          <w:bCs/>
        </w:rPr>
      </w:pPr>
      <w:r>
        <w:rPr>
          <w:rFonts w:ascii="Times New Roman" w:hAnsi="Times New Roman" w:cs="Times New Roman"/>
          <w:b/>
        </w:rPr>
        <w:t>§ 2</w:t>
      </w:r>
      <w:r>
        <w:rPr>
          <w:rFonts w:ascii="Times New Roman" w:hAnsi="Times New Roman" w:cs="Times New Roman"/>
          <w:bCs/>
        </w:rPr>
        <w:t>. Pozostałe zapisy pozostawia się bez zmian.</w:t>
      </w:r>
    </w:p>
    <w:p w14:paraId="3491A8BE" w14:textId="77777777" w:rsidR="00364BE1" w:rsidRDefault="00364BE1">
      <w:pPr>
        <w:pStyle w:val="Textbody"/>
        <w:spacing w:after="0"/>
        <w:rPr>
          <w:rFonts w:ascii="Times New Roman" w:hAnsi="Times New Roman" w:cs="Times New Roman"/>
          <w:b/>
        </w:rPr>
      </w:pPr>
    </w:p>
    <w:p w14:paraId="5303491B" w14:textId="77777777" w:rsidR="00364BE1" w:rsidRDefault="00336103">
      <w:pPr>
        <w:pStyle w:val="Textbody"/>
        <w:spacing w:after="0"/>
        <w:rPr>
          <w:rFonts w:ascii="Times New Roman" w:hAnsi="Times New Roman" w:cs="Times New Roman"/>
          <w:bCs/>
        </w:rPr>
      </w:pPr>
      <w:r>
        <w:rPr>
          <w:rFonts w:ascii="Times New Roman" w:hAnsi="Times New Roman" w:cs="Times New Roman"/>
          <w:b/>
        </w:rPr>
        <w:t>§ 3</w:t>
      </w:r>
      <w:r>
        <w:rPr>
          <w:rFonts w:ascii="Times New Roman" w:hAnsi="Times New Roman" w:cs="Times New Roman"/>
          <w:bCs/>
        </w:rPr>
        <w:t>. Wykonanie uchwały powierza się Burmistrzowi Reszla.</w:t>
      </w:r>
    </w:p>
    <w:p w14:paraId="4018609C" w14:textId="77777777" w:rsidR="00364BE1" w:rsidRDefault="00364BE1">
      <w:pPr>
        <w:pStyle w:val="Textbody"/>
        <w:spacing w:after="0"/>
        <w:rPr>
          <w:rFonts w:ascii="Times New Roman" w:hAnsi="Times New Roman" w:cs="Times New Roman"/>
          <w:b/>
        </w:rPr>
      </w:pPr>
    </w:p>
    <w:p w14:paraId="023F054F" w14:textId="77777777" w:rsidR="00364BE1" w:rsidRDefault="00336103" w:rsidP="00346573">
      <w:pPr>
        <w:pStyle w:val="Textbody"/>
        <w:spacing w:after="0"/>
        <w:jc w:val="both"/>
        <w:rPr>
          <w:rFonts w:ascii="Times New Roman" w:hAnsi="Times New Roman" w:cs="Times New Roman"/>
          <w:bCs/>
        </w:rPr>
      </w:pPr>
      <w:r>
        <w:rPr>
          <w:rFonts w:ascii="Times New Roman" w:hAnsi="Times New Roman" w:cs="Times New Roman"/>
          <w:b/>
        </w:rPr>
        <w:t>§ 4</w:t>
      </w:r>
      <w:r>
        <w:rPr>
          <w:rFonts w:ascii="Times New Roman" w:hAnsi="Times New Roman" w:cs="Times New Roman"/>
          <w:bCs/>
        </w:rPr>
        <w:t>. Uchwała wchodzi w życie po upływie 14 dni od dnia jej ogłoszenia w Dzienniku Urzędowym Województwa warmińsko-Mazurskiego.</w:t>
      </w:r>
    </w:p>
    <w:p w14:paraId="46BB69DC" w14:textId="77777777" w:rsidR="00364BE1" w:rsidRDefault="00364BE1">
      <w:pPr>
        <w:pStyle w:val="Textbody"/>
        <w:spacing w:after="0"/>
        <w:rPr>
          <w:rFonts w:ascii="Times New Roman" w:hAnsi="Times New Roman" w:cs="Times New Roman"/>
          <w:bCs/>
        </w:rPr>
      </w:pPr>
    </w:p>
    <w:p w14:paraId="1ED905AD" w14:textId="77777777" w:rsidR="00364BE1" w:rsidRDefault="00364BE1">
      <w:pPr>
        <w:pStyle w:val="Textbody"/>
        <w:spacing w:after="0"/>
        <w:rPr>
          <w:rFonts w:ascii="Times New Roman" w:hAnsi="Times New Roman" w:cs="Times New Roman"/>
          <w:bCs/>
        </w:rPr>
      </w:pPr>
    </w:p>
    <w:p w14:paraId="06BB85C8" w14:textId="77777777" w:rsidR="00364BE1" w:rsidRDefault="00364BE1">
      <w:pPr>
        <w:pStyle w:val="Textbody"/>
        <w:spacing w:after="0"/>
        <w:rPr>
          <w:rFonts w:ascii="Times New Roman" w:hAnsi="Times New Roman" w:cs="Times New Roman"/>
          <w:bCs/>
        </w:rPr>
      </w:pPr>
    </w:p>
    <w:p w14:paraId="63080B84" w14:textId="77777777" w:rsidR="00364BE1" w:rsidRDefault="00364BE1">
      <w:pPr>
        <w:pStyle w:val="Textbody"/>
        <w:spacing w:after="0"/>
        <w:rPr>
          <w:rFonts w:ascii="Times New Roman" w:hAnsi="Times New Roman" w:cs="Times New Roman"/>
          <w:bCs/>
        </w:rPr>
      </w:pPr>
    </w:p>
    <w:p w14:paraId="46AEBA31" w14:textId="77777777" w:rsidR="00364BE1" w:rsidRDefault="00364BE1">
      <w:pPr>
        <w:pStyle w:val="Textbody"/>
        <w:spacing w:after="0"/>
        <w:rPr>
          <w:rFonts w:ascii="Times New Roman" w:hAnsi="Times New Roman" w:cs="Times New Roman"/>
          <w:bCs/>
        </w:rPr>
      </w:pPr>
    </w:p>
    <w:p w14:paraId="3829D194" w14:textId="77777777" w:rsidR="00364BE1" w:rsidRDefault="00364BE1">
      <w:pPr>
        <w:pStyle w:val="Textbody"/>
        <w:spacing w:after="0"/>
        <w:rPr>
          <w:rFonts w:ascii="Times New Roman" w:hAnsi="Times New Roman" w:cs="Times New Roman"/>
          <w:bCs/>
        </w:rPr>
      </w:pPr>
    </w:p>
    <w:p w14:paraId="3759E432" w14:textId="77777777" w:rsidR="00364BE1" w:rsidRDefault="00364BE1">
      <w:pPr>
        <w:pStyle w:val="Textbody"/>
        <w:spacing w:after="0"/>
        <w:rPr>
          <w:rFonts w:ascii="Times New Roman" w:hAnsi="Times New Roman" w:cs="Times New Roman"/>
          <w:bCs/>
        </w:rPr>
      </w:pPr>
    </w:p>
    <w:p w14:paraId="0E942C4E" w14:textId="77777777" w:rsidR="00364BE1" w:rsidRDefault="00364BE1">
      <w:pPr>
        <w:pStyle w:val="Textbody"/>
        <w:spacing w:after="0"/>
        <w:rPr>
          <w:rFonts w:ascii="Times New Roman" w:hAnsi="Times New Roman" w:cs="Times New Roman"/>
          <w:bCs/>
        </w:rPr>
      </w:pPr>
    </w:p>
    <w:p w14:paraId="65747384" w14:textId="77777777" w:rsidR="00364BE1" w:rsidRDefault="00364BE1">
      <w:pPr>
        <w:pStyle w:val="Textbody"/>
        <w:spacing w:after="0"/>
        <w:rPr>
          <w:rFonts w:ascii="Times New Roman" w:hAnsi="Times New Roman" w:cs="Times New Roman"/>
          <w:bCs/>
        </w:rPr>
      </w:pPr>
    </w:p>
    <w:p w14:paraId="3F807E39" w14:textId="77777777" w:rsidR="00364BE1" w:rsidRDefault="00364BE1">
      <w:pPr>
        <w:pStyle w:val="Textbody"/>
        <w:spacing w:after="0"/>
        <w:rPr>
          <w:rFonts w:ascii="Times New Roman" w:hAnsi="Times New Roman" w:cs="Times New Roman"/>
          <w:bCs/>
        </w:rPr>
      </w:pPr>
    </w:p>
    <w:p w14:paraId="3F77206E" w14:textId="77777777" w:rsidR="00364BE1" w:rsidRDefault="00364BE1">
      <w:pPr>
        <w:pStyle w:val="Textbody"/>
        <w:spacing w:after="0"/>
        <w:rPr>
          <w:rFonts w:ascii="Times New Roman" w:hAnsi="Times New Roman" w:cs="Times New Roman"/>
          <w:bCs/>
        </w:rPr>
      </w:pPr>
    </w:p>
    <w:p w14:paraId="5823FFFD" w14:textId="77777777" w:rsidR="00364BE1" w:rsidRDefault="00364BE1">
      <w:pPr>
        <w:pStyle w:val="Textbody"/>
        <w:spacing w:after="0"/>
        <w:rPr>
          <w:rFonts w:ascii="Times New Roman" w:hAnsi="Times New Roman" w:cs="Times New Roman"/>
          <w:bCs/>
        </w:rPr>
      </w:pPr>
    </w:p>
    <w:p w14:paraId="7820798E" w14:textId="77777777" w:rsidR="00364BE1" w:rsidRDefault="00364BE1">
      <w:pPr>
        <w:pStyle w:val="Textbody"/>
        <w:spacing w:after="0"/>
        <w:rPr>
          <w:rFonts w:ascii="Times New Roman" w:hAnsi="Times New Roman" w:cs="Times New Roman"/>
          <w:bCs/>
        </w:rPr>
      </w:pPr>
    </w:p>
    <w:p w14:paraId="10E424F7" w14:textId="77777777" w:rsidR="00364BE1" w:rsidRDefault="00364BE1">
      <w:pPr>
        <w:pStyle w:val="Textbody"/>
        <w:spacing w:after="0"/>
        <w:rPr>
          <w:rFonts w:ascii="Times New Roman" w:hAnsi="Times New Roman" w:cs="Times New Roman"/>
          <w:bCs/>
        </w:rPr>
      </w:pPr>
    </w:p>
    <w:p w14:paraId="1B6ACC42" w14:textId="77777777" w:rsidR="00364BE1" w:rsidRDefault="00364BE1">
      <w:pPr>
        <w:pStyle w:val="Textbody"/>
        <w:spacing w:after="0"/>
        <w:rPr>
          <w:rFonts w:ascii="Times New Roman" w:hAnsi="Times New Roman" w:cs="Times New Roman"/>
          <w:bCs/>
        </w:rPr>
      </w:pPr>
    </w:p>
    <w:p w14:paraId="6B2AC01D" w14:textId="77777777" w:rsidR="00364BE1" w:rsidRDefault="00364BE1">
      <w:pPr>
        <w:pStyle w:val="Textbody"/>
        <w:spacing w:after="0"/>
        <w:rPr>
          <w:rFonts w:ascii="Times New Roman" w:hAnsi="Times New Roman" w:cs="Times New Roman"/>
          <w:bCs/>
        </w:rPr>
      </w:pPr>
    </w:p>
    <w:p w14:paraId="621904F4" w14:textId="77777777" w:rsidR="00364BE1" w:rsidRDefault="00364BE1">
      <w:pPr>
        <w:pStyle w:val="Textbody"/>
        <w:spacing w:after="0"/>
        <w:rPr>
          <w:rFonts w:ascii="Times New Roman" w:hAnsi="Times New Roman" w:cs="Times New Roman"/>
          <w:bCs/>
        </w:rPr>
      </w:pPr>
    </w:p>
    <w:p w14:paraId="477CBE25" w14:textId="77777777" w:rsidR="007D315A" w:rsidRDefault="007D315A">
      <w:pPr>
        <w:pStyle w:val="Textbody"/>
        <w:spacing w:after="0"/>
        <w:rPr>
          <w:rFonts w:ascii="Times New Roman" w:hAnsi="Times New Roman" w:cs="Times New Roman"/>
          <w:bCs/>
        </w:rPr>
      </w:pPr>
    </w:p>
    <w:p w14:paraId="74DFFE8C" w14:textId="77777777" w:rsidR="00364BE1" w:rsidRDefault="00364BE1">
      <w:pPr>
        <w:pStyle w:val="Textbody"/>
        <w:spacing w:after="0"/>
        <w:rPr>
          <w:rFonts w:ascii="Times New Roman" w:hAnsi="Times New Roman" w:cs="Times New Roman"/>
          <w:bCs/>
        </w:rPr>
      </w:pPr>
    </w:p>
    <w:p w14:paraId="50352F01" w14:textId="77777777" w:rsidR="00364BE1" w:rsidRDefault="00364BE1">
      <w:pPr>
        <w:pStyle w:val="Textbody"/>
        <w:spacing w:after="0"/>
        <w:rPr>
          <w:rFonts w:ascii="Times New Roman" w:hAnsi="Times New Roman" w:cs="Times New Roman"/>
          <w:bCs/>
        </w:rPr>
      </w:pPr>
    </w:p>
    <w:p w14:paraId="235913CE" w14:textId="77777777" w:rsidR="00364BE1" w:rsidRDefault="00364BE1">
      <w:pPr>
        <w:pStyle w:val="Textbody"/>
        <w:spacing w:after="0"/>
        <w:rPr>
          <w:rFonts w:ascii="Times New Roman" w:hAnsi="Times New Roman" w:cs="Times New Roman"/>
          <w:bCs/>
        </w:rPr>
      </w:pPr>
    </w:p>
    <w:p w14:paraId="2B598288" w14:textId="77777777" w:rsidR="00364BE1" w:rsidRDefault="00364BE1">
      <w:pPr>
        <w:pStyle w:val="Textbody"/>
        <w:spacing w:after="0"/>
        <w:rPr>
          <w:rFonts w:ascii="Times New Roman" w:hAnsi="Times New Roman" w:cs="Times New Roman"/>
          <w:bCs/>
        </w:rPr>
      </w:pPr>
    </w:p>
    <w:p w14:paraId="23F153D4" w14:textId="77777777" w:rsidR="00364BE1" w:rsidRDefault="00364BE1">
      <w:pPr>
        <w:pStyle w:val="Textbody"/>
        <w:spacing w:after="0"/>
        <w:rPr>
          <w:rFonts w:ascii="Times New Roman" w:hAnsi="Times New Roman" w:cs="Times New Roman"/>
          <w:bCs/>
        </w:rPr>
      </w:pPr>
    </w:p>
    <w:p w14:paraId="7C29BD3C" w14:textId="77777777" w:rsidR="00364BE1" w:rsidRDefault="00364BE1">
      <w:pPr>
        <w:pStyle w:val="Textbody"/>
        <w:spacing w:after="0"/>
        <w:rPr>
          <w:rFonts w:ascii="Times New Roman" w:hAnsi="Times New Roman" w:cs="Times New Roman"/>
          <w:bCs/>
        </w:rPr>
      </w:pPr>
    </w:p>
    <w:p w14:paraId="684DA31A" w14:textId="77777777" w:rsidR="00364BE1" w:rsidRDefault="00364BE1">
      <w:pPr>
        <w:pStyle w:val="Textbody"/>
        <w:spacing w:after="0"/>
        <w:rPr>
          <w:rFonts w:ascii="Times New Roman" w:hAnsi="Times New Roman" w:cs="Times New Roman"/>
          <w:bCs/>
        </w:rPr>
      </w:pPr>
    </w:p>
    <w:p w14:paraId="0577037A" w14:textId="77777777" w:rsidR="00364BE1" w:rsidRDefault="00364BE1">
      <w:pPr>
        <w:pStyle w:val="Textbody"/>
        <w:spacing w:after="0"/>
        <w:rPr>
          <w:rFonts w:ascii="Times New Roman" w:hAnsi="Times New Roman" w:cs="Times New Roman"/>
          <w:bCs/>
        </w:rPr>
      </w:pPr>
    </w:p>
    <w:p w14:paraId="41CD096E" w14:textId="77777777" w:rsidR="00364BE1" w:rsidRDefault="00364BE1">
      <w:pPr>
        <w:pStyle w:val="Textbody"/>
        <w:spacing w:after="0"/>
        <w:rPr>
          <w:rFonts w:ascii="Times New Roman" w:hAnsi="Times New Roman" w:cs="Times New Roman"/>
          <w:bCs/>
        </w:rPr>
      </w:pPr>
    </w:p>
    <w:p w14:paraId="71EF9DF2" w14:textId="77777777" w:rsidR="00364BE1" w:rsidRDefault="00364BE1">
      <w:pPr>
        <w:pStyle w:val="Textbody"/>
        <w:spacing w:after="0"/>
        <w:rPr>
          <w:rFonts w:ascii="Times New Roman" w:hAnsi="Times New Roman" w:cs="Times New Roman"/>
          <w:bCs/>
        </w:rPr>
      </w:pPr>
    </w:p>
    <w:p w14:paraId="108B36B7" w14:textId="77777777" w:rsidR="00364BE1" w:rsidRDefault="00336103">
      <w:pPr>
        <w:pStyle w:val="Textbody"/>
        <w:spacing w:after="0"/>
        <w:jc w:val="center"/>
        <w:rPr>
          <w:rFonts w:ascii="Times New Roman" w:hAnsi="Times New Roman" w:cs="Times New Roman"/>
          <w:bCs/>
        </w:rPr>
      </w:pPr>
      <w:r>
        <w:rPr>
          <w:rFonts w:ascii="Times New Roman" w:hAnsi="Times New Roman" w:cs="Times New Roman"/>
          <w:bCs/>
        </w:rPr>
        <w:lastRenderedPageBreak/>
        <w:t>Uzasadnienie</w:t>
      </w:r>
    </w:p>
    <w:p w14:paraId="47BED03D" w14:textId="77777777" w:rsidR="00364BE1" w:rsidRDefault="00336103">
      <w:pPr>
        <w:pStyle w:val="Textbody"/>
        <w:spacing w:after="0"/>
        <w:jc w:val="center"/>
        <w:rPr>
          <w:rFonts w:ascii="Times New Roman" w:hAnsi="Times New Roman" w:cs="Times New Roman"/>
          <w:bCs/>
        </w:rPr>
      </w:pPr>
      <w:r>
        <w:rPr>
          <w:rFonts w:ascii="Times New Roman" w:hAnsi="Times New Roman" w:cs="Times New Roman"/>
          <w:bCs/>
        </w:rPr>
        <w:t>do uchwały Nr …………………….</w:t>
      </w:r>
    </w:p>
    <w:p w14:paraId="7E47921E" w14:textId="77777777" w:rsidR="00364BE1" w:rsidRDefault="00336103">
      <w:pPr>
        <w:pStyle w:val="Textbody"/>
        <w:spacing w:after="0"/>
        <w:jc w:val="center"/>
        <w:rPr>
          <w:rFonts w:ascii="Times New Roman" w:hAnsi="Times New Roman" w:cs="Times New Roman"/>
          <w:bCs/>
        </w:rPr>
      </w:pPr>
      <w:r>
        <w:rPr>
          <w:rFonts w:ascii="Times New Roman" w:hAnsi="Times New Roman" w:cs="Times New Roman"/>
          <w:bCs/>
        </w:rPr>
        <w:t>Rady Miejskiej w Reszlu</w:t>
      </w:r>
    </w:p>
    <w:p w14:paraId="1ABD8090" w14:textId="77777777" w:rsidR="00364BE1" w:rsidRDefault="00364BE1">
      <w:pPr>
        <w:spacing w:after="0"/>
        <w:rPr>
          <w:rFonts w:ascii="Times New Roman" w:hAnsi="Times New Roman" w:cs="Times New Roman"/>
          <w:b/>
          <w:bCs/>
          <w:sz w:val="24"/>
          <w:szCs w:val="24"/>
        </w:rPr>
      </w:pPr>
    </w:p>
    <w:p w14:paraId="72F9CAEF" w14:textId="77777777" w:rsidR="00364BE1" w:rsidRDefault="00336103">
      <w:pPr>
        <w:spacing w:after="0"/>
        <w:rPr>
          <w:rFonts w:ascii="Times New Roman" w:hAnsi="Times New Roman" w:cs="Times New Roman"/>
          <w:b/>
          <w:bCs/>
          <w:sz w:val="24"/>
          <w:szCs w:val="24"/>
        </w:rPr>
      </w:pPr>
      <w:r>
        <w:rPr>
          <w:rFonts w:ascii="Times New Roman" w:hAnsi="Times New Roman" w:cs="Times New Roman"/>
          <w:b/>
          <w:bCs/>
          <w:sz w:val="24"/>
          <w:szCs w:val="24"/>
        </w:rPr>
        <w:t xml:space="preserve">w sprawie: zmiany uchwały w sprawie określenia zasad przyznawania dotacji na prace </w:t>
      </w:r>
    </w:p>
    <w:p w14:paraId="73EB1C9F" w14:textId="77777777" w:rsidR="00364BE1" w:rsidRDefault="00336103">
      <w:pPr>
        <w:spacing w:after="0"/>
        <w:rPr>
          <w:rFonts w:ascii="Times New Roman" w:hAnsi="Times New Roman" w:cs="Times New Roman"/>
          <w:b/>
          <w:bCs/>
          <w:sz w:val="24"/>
          <w:szCs w:val="24"/>
        </w:rPr>
      </w:pPr>
      <w:r>
        <w:rPr>
          <w:rFonts w:ascii="Times New Roman" w:hAnsi="Times New Roman" w:cs="Times New Roman"/>
          <w:b/>
          <w:bCs/>
          <w:sz w:val="24"/>
          <w:szCs w:val="24"/>
        </w:rPr>
        <w:t xml:space="preserve">                     konserwatorskie, restauratorskie i roboty budowlane przy zabytku </w:t>
      </w:r>
    </w:p>
    <w:p w14:paraId="1DB5EBE3" w14:textId="77777777" w:rsidR="00364BE1" w:rsidRDefault="00336103">
      <w:pPr>
        <w:spacing w:after="0"/>
        <w:rPr>
          <w:rFonts w:ascii="Times New Roman" w:hAnsi="Times New Roman" w:cs="Times New Roman"/>
          <w:b/>
          <w:bCs/>
          <w:sz w:val="24"/>
          <w:szCs w:val="24"/>
        </w:rPr>
      </w:pPr>
      <w:r>
        <w:rPr>
          <w:rFonts w:ascii="Times New Roman" w:hAnsi="Times New Roman" w:cs="Times New Roman"/>
          <w:b/>
          <w:bCs/>
          <w:sz w:val="24"/>
          <w:szCs w:val="24"/>
        </w:rPr>
        <w:t xml:space="preserve">                   wpisanym do rejestru zabytków usytuowanym na terenie Gminy Reszel</w:t>
      </w:r>
    </w:p>
    <w:p w14:paraId="67271B22" w14:textId="77777777" w:rsidR="00364BE1" w:rsidRDefault="00364BE1">
      <w:pPr>
        <w:pStyle w:val="Textbody"/>
        <w:spacing w:after="0"/>
        <w:rPr>
          <w:rFonts w:ascii="Times New Roman" w:hAnsi="Times New Roman" w:cs="Times New Roman"/>
          <w:bCs/>
        </w:rPr>
      </w:pPr>
    </w:p>
    <w:p w14:paraId="6248E5FB" w14:textId="77777777" w:rsidR="00364BE1" w:rsidRDefault="00364BE1">
      <w:pPr>
        <w:pStyle w:val="Textbody"/>
        <w:spacing w:after="0"/>
        <w:rPr>
          <w:rFonts w:ascii="Times New Roman" w:hAnsi="Times New Roman" w:cs="Times New Roman"/>
          <w:bCs/>
        </w:rPr>
      </w:pPr>
    </w:p>
    <w:p w14:paraId="21ABA6FA" w14:textId="77777777" w:rsidR="00364BE1" w:rsidRDefault="00336103">
      <w:pPr>
        <w:pStyle w:val="Textbody"/>
        <w:spacing w:after="450"/>
        <w:ind w:firstLine="708"/>
        <w:jc w:val="both"/>
        <w:rPr>
          <w:rFonts w:ascii="Times New Roman" w:hAnsi="Times New Roman" w:cs="Times New Roman"/>
        </w:rPr>
      </w:pPr>
      <w:r>
        <w:rPr>
          <w:rFonts w:ascii="Times New Roman" w:hAnsi="Times New Roman" w:cs="Times New Roman"/>
        </w:rPr>
        <w:t>Rządowy Program Odbudowy Zabytków kierowany jest bezpośrednio do jednostek samorządu terytorialnego, a za ich pośrednictwem również do innych podmiotów zobowiązanych do opieki nad zabytkami. Środki można przeznaczyć na prace konserwatorskie, restauratorskie oraz roboty budowlane związane z ochroną zabytków i opieką nad zabytkami. Warunkiem uzyskania wsparcia jest zgłoszenie do programu obiektów posiadających wpis do ewidencji lub rejestru zabytków, które należą do samorządu lub jednostki jemu podległej. Operatorem programu jest Bank Gospodarstwa Krajowego, który przyjmuje wnioski i prowadzi rozliczenia dofinansowania.</w:t>
      </w:r>
      <w:r>
        <w:rPr>
          <w:rFonts w:ascii="Times New Roman" w:hAnsi="Times New Roman" w:cs="Times New Roman"/>
          <w:kern w:val="0"/>
        </w:rPr>
        <w:t xml:space="preserve"> Wypłata dofinansowania z Programu następuje po spełnieniu warunków wynikających z promesy i Regulaminu</w:t>
      </w:r>
    </w:p>
    <w:p w14:paraId="513181A9" w14:textId="77777777" w:rsidR="00364BE1" w:rsidRDefault="00336103">
      <w:pPr>
        <w:pStyle w:val="Textbody"/>
        <w:spacing w:after="0"/>
        <w:jc w:val="both"/>
        <w:rPr>
          <w:rFonts w:ascii="Times New Roman" w:hAnsi="Times New Roman" w:cs="Times New Roman"/>
        </w:rPr>
      </w:pPr>
      <w:r>
        <w:rPr>
          <w:rFonts w:ascii="Times New Roman" w:hAnsi="Times New Roman" w:cs="Times New Roman"/>
          <w:bCs/>
        </w:rPr>
        <w:t xml:space="preserve">Uchwała Nr </w:t>
      </w:r>
      <w:r>
        <w:rPr>
          <w:rFonts w:ascii="Times New Roman" w:hAnsi="Times New Roman" w:cs="Times New Roman"/>
        </w:rPr>
        <w:t xml:space="preserve">XXXIX/272/2017 Rady Miejskiej w Reszlu z dnia 29 czerwca 2017 r. w sprawie określenia zasad przyznawania dotacji na prace konserwatorskie, restauratorskie i roboty budowlane przy zabytku wpisanym do rejestru zabytków usytuowanym na terenie Gminy Reszel określa zasady ubiegania się </w:t>
      </w:r>
    </w:p>
    <w:p w14:paraId="73481D1D" w14:textId="77777777" w:rsidR="00364BE1" w:rsidRDefault="00336103">
      <w:pPr>
        <w:pStyle w:val="Textbody"/>
        <w:spacing w:after="0"/>
        <w:jc w:val="both"/>
        <w:rPr>
          <w:rFonts w:ascii="Times New Roman" w:hAnsi="Times New Roman" w:cs="Times New Roman"/>
        </w:rPr>
      </w:pPr>
      <w:r>
        <w:rPr>
          <w:rFonts w:ascii="Times New Roman" w:hAnsi="Times New Roman" w:cs="Times New Roman"/>
        </w:rPr>
        <w:t>i przyznawania dotacji z budżetu Gminy Reszel. W przypadku programów  zewnętrznych  zasady ubiegania się o środki , tryb wnioskowania, terminy składania wniosków i sposób przekazywania dotacji określa Regulamin, ustalany odrębnie dla każdego z programów. Zasady w nich  określane są rozbieżne z zasadami przyznawania dotacji na prace konserwatorskie, restauratorskie i roboty budowlane przy zabytku wpisanym  do rejestru zabytków usytuowanym na terenie Gminy Reszel, określone w uchwale Rady Miejskiej w Reszlu.</w:t>
      </w:r>
    </w:p>
    <w:p w14:paraId="3091D0E1" w14:textId="77777777" w:rsidR="00364BE1" w:rsidRDefault="00336103">
      <w:pPr>
        <w:pStyle w:val="Textbody"/>
        <w:spacing w:after="0"/>
        <w:jc w:val="both"/>
        <w:rPr>
          <w:rFonts w:ascii="Times New Roman" w:hAnsi="Times New Roman" w:cs="Times New Roman"/>
        </w:rPr>
      </w:pPr>
      <w:r>
        <w:rPr>
          <w:rFonts w:ascii="Times New Roman" w:hAnsi="Times New Roman" w:cs="Times New Roman"/>
        </w:rPr>
        <w:t xml:space="preserve">Zaproponowana zmiana uchwały, po wprowadzeniu zaproponowanych zmian, będzie miała zastosowanie do dotacji  na ochronę zabytków, finansowanych zarówno z budżetu gminy jak </w:t>
      </w:r>
    </w:p>
    <w:p w14:paraId="65071E94" w14:textId="77777777" w:rsidR="00364BE1" w:rsidRDefault="00336103">
      <w:pPr>
        <w:pStyle w:val="Textbody"/>
        <w:spacing w:after="0"/>
        <w:jc w:val="both"/>
        <w:rPr>
          <w:rFonts w:ascii="Times New Roman" w:hAnsi="Times New Roman" w:cs="Times New Roman"/>
        </w:rPr>
      </w:pPr>
      <w:r>
        <w:rPr>
          <w:rFonts w:ascii="Times New Roman" w:hAnsi="Times New Roman" w:cs="Times New Roman"/>
        </w:rPr>
        <w:t xml:space="preserve">i ze środków zewnętrznych. </w:t>
      </w:r>
    </w:p>
    <w:p w14:paraId="5D2D019C" w14:textId="77777777" w:rsidR="00364BE1" w:rsidRDefault="00364BE1">
      <w:pPr>
        <w:pStyle w:val="Textbody"/>
        <w:spacing w:after="0"/>
        <w:jc w:val="both"/>
        <w:rPr>
          <w:rFonts w:ascii="Times New Roman" w:hAnsi="Times New Roman" w:cs="Times New Roman"/>
        </w:rPr>
      </w:pPr>
    </w:p>
    <w:p w14:paraId="22A3A274" w14:textId="77777777" w:rsidR="00364BE1" w:rsidRDefault="00336103">
      <w:pPr>
        <w:pStyle w:val="Textbody"/>
        <w:spacing w:after="0"/>
        <w:jc w:val="both"/>
        <w:rPr>
          <w:rFonts w:ascii="Times New Roman" w:hAnsi="Times New Roman" w:cs="Times New Roman"/>
        </w:rPr>
      </w:pPr>
      <w:r>
        <w:rPr>
          <w:rFonts w:ascii="Times New Roman" w:hAnsi="Times New Roman" w:cs="Times New Roman"/>
        </w:rPr>
        <w:t xml:space="preserve">Ponadto Komisja Europejska wydała nowe rozporządzenie w sprawie stosowania art. 107 i 108 Traktatu o funkcjonowaniu Unii Europejskiej do pomocy de </w:t>
      </w:r>
      <w:proofErr w:type="spellStart"/>
      <w:r>
        <w:rPr>
          <w:rFonts w:ascii="Times New Roman" w:hAnsi="Times New Roman" w:cs="Times New Roman"/>
        </w:rPr>
        <w:t>minimis</w:t>
      </w:r>
      <w:proofErr w:type="spellEnd"/>
      <w:r>
        <w:rPr>
          <w:rFonts w:ascii="Times New Roman" w:hAnsi="Times New Roman" w:cs="Times New Roman"/>
        </w:rPr>
        <w:t xml:space="preserve"> – rozporządzenie Komisji (UE) 2023/2831, co w uchwale zmieniono odpowiednio.</w:t>
      </w:r>
    </w:p>
    <w:sectPr w:rsidR="00364BE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A34"/>
    <w:multiLevelType w:val="multilevel"/>
    <w:tmpl w:val="F69682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7C2669D"/>
    <w:multiLevelType w:val="multilevel"/>
    <w:tmpl w:val="E03AC7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F2D67C5"/>
    <w:multiLevelType w:val="multilevel"/>
    <w:tmpl w:val="78CEDE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20676061">
    <w:abstractNumId w:val="0"/>
  </w:num>
  <w:num w:numId="2" w16cid:durableId="892275681">
    <w:abstractNumId w:val="1"/>
  </w:num>
  <w:num w:numId="3" w16cid:durableId="180796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E1"/>
    <w:rsid w:val="00336103"/>
    <w:rsid w:val="00346573"/>
    <w:rsid w:val="00364BE1"/>
    <w:rsid w:val="007D315A"/>
    <w:rsid w:val="00983B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46D7"/>
  <w15:docId w15:val="{BFC01E7D-6653-4FE9-8AEC-95D2EF35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393"/>
    <w:pPr>
      <w:spacing w:after="200" w:line="276" w:lineRule="auto"/>
    </w:pPr>
  </w:style>
  <w:style w:type="paragraph" w:styleId="Nagwek1">
    <w:name w:val="heading 1"/>
    <w:basedOn w:val="Normalny"/>
    <w:next w:val="Normalny"/>
    <w:link w:val="Nagwek1Znak"/>
    <w:uiPriority w:val="9"/>
    <w:qFormat/>
    <w:rsid w:val="00C64B3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gwek2">
    <w:name w:val="heading 2"/>
    <w:basedOn w:val="Normalny"/>
    <w:next w:val="Normalny"/>
    <w:link w:val="Nagwek2Znak"/>
    <w:uiPriority w:val="9"/>
    <w:semiHidden/>
    <w:unhideWhenUsed/>
    <w:qFormat/>
    <w:rsid w:val="00C64B3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C64B32"/>
    <w:pPr>
      <w:keepNext/>
      <w:keepLines/>
      <w:spacing w:before="160" w:after="80"/>
      <w:outlineLvl w:val="2"/>
    </w:pPr>
    <w:rPr>
      <w:rFonts w:eastAsiaTheme="majorEastAsia" w:cstheme="majorBidi"/>
      <w:color w:val="365F91" w:themeColor="accent1" w:themeShade="BF"/>
      <w:sz w:val="28"/>
      <w:szCs w:val="28"/>
    </w:rPr>
  </w:style>
  <w:style w:type="paragraph" w:styleId="Nagwek4">
    <w:name w:val="heading 4"/>
    <w:basedOn w:val="Normalny"/>
    <w:next w:val="Normalny"/>
    <w:link w:val="Nagwek4Znak"/>
    <w:uiPriority w:val="9"/>
    <w:semiHidden/>
    <w:unhideWhenUsed/>
    <w:qFormat/>
    <w:rsid w:val="00C64B32"/>
    <w:pPr>
      <w:keepNext/>
      <w:keepLines/>
      <w:spacing w:before="80" w:after="40"/>
      <w:outlineLvl w:val="3"/>
    </w:pPr>
    <w:rPr>
      <w:rFonts w:eastAsiaTheme="majorEastAsia" w:cstheme="majorBidi"/>
      <w:i/>
      <w:iCs/>
      <w:color w:val="365F91" w:themeColor="accent1" w:themeShade="BF"/>
    </w:rPr>
  </w:style>
  <w:style w:type="paragraph" w:styleId="Nagwek5">
    <w:name w:val="heading 5"/>
    <w:basedOn w:val="Normalny"/>
    <w:next w:val="Normalny"/>
    <w:link w:val="Nagwek5Znak"/>
    <w:uiPriority w:val="9"/>
    <w:semiHidden/>
    <w:unhideWhenUsed/>
    <w:qFormat/>
    <w:rsid w:val="00C64B32"/>
    <w:pPr>
      <w:keepNext/>
      <w:keepLines/>
      <w:spacing w:before="80" w:after="40"/>
      <w:outlineLvl w:val="4"/>
    </w:pPr>
    <w:rPr>
      <w:rFonts w:eastAsiaTheme="majorEastAsia" w:cstheme="majorBidi"/>
      <w:color w:val="365F91" w:themeColor="accent1" w:themeShade="BF"/>
    </w:rPr>
  </w:style>
  <w:style w:type="paragraph" w:styleId="Nagwek6">
    <w:name w:val="heading 6"/>
    <w:basedOn w:val="Normalny"/>
    <w:next w:val="Normalny"/>
    <w:link w:val="Nagwek6Znak"/>
    <w:uiPriority w:val="9"/>
    <w:semiHidden/>
    <w:unhideWhenUsed/>
    <w:qFormat/>
    <w:rsid w:val="00C64B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4B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4B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4B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C64B32"/>
    <w:rPr>
      <w:rFonts w:asciiTheme="majorHAnsi" w:eastAsiaTheme="majorEastAsia" w:hAnsiTheme="majorHAnsi" w:cstheme="majorBidi"/>
      <w:color w:val="365F91" w:themeColor="accent1" w:themeShade="BF"/>
      <w:sz w:val="40"/>
      <w:szCs w:val="40"/>
    </w:rPr>
  </w:style>
  <w:style w:type="character" w:customStyle="1" w:styleId="Nagwek2Znak">
    <w:name w:val="Nagłówek 2 Znak"/>
    <w:basedOn w:val="Domylnaczcionkaakapitu"/>
    <w:link w:val="Nagwek2"/>
    <w:uiPriority w:val="9"/>
    <w:semiHidden/>
    <w:qFormat/>
    <w:rsid w:val="00C64B32"/>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qFormat/>
    <w:rsid w:val="00C64B32"/>
    <w:rPr>
      <w:rFonts w:eastAsiaTheme="majorEastAsia" w:cstheme="majorBidi"/>
      <w:color w:val="365F91" w:themeColor="accent1" w:themeShade="BF"/>
      <w:sz w:val="28"/>
      <w:szCs w:val="28"/>
    </w:rPr>
  </w:style>
  <w:style w:type="character" w:customStyle="1" w:styleId="Nagwek4Znak">
    <w:name w:val="Nagłówek 4 Znak"/>
    <w:basedOn w:val="Domylnaczcionkaakapitu"/>
    <w:link w:val="Nagwek4"/>
    <w:uiPriority w:val="9"/>
    <w:semiHidden/>
    <w:qFormat/>
    <w:rsid w:val="00C64B32"/>
    <w:rPr>
      <w:rFonts w:eastAsiaTheme="majorEastAsia" w:cstheme="majorBidi"/>
      <w:i/>
      <w:iCs/>
      <w:color w:val="365F91" w:themeColor="accent1" w:themeShade="BF"/>
    </w:rPr>
  </w:style>
  <w:style w:type="character" w:customStyle="1" w:styleId="Nagwek5Znak">
    <w:name w:val="Nagłówek 5 Znak"/>
    <w:basedOn w:val="Domylnaczcionkaakapitu"/>
    <w:link w:val="Nagwek5"/>
    <w:uiPriority w:val="9"/>
    <w:semiHidden/>
    <w:qFormat/>
    <w:rsid w:val="00C64B32"/>
    <w:rPr>
      <w:rFonts w:eastAsiaTheme="majorEastAsia" w:cstheme="majorBidi"/>
      <w:color w:val="365F91" w:themeColor="accent1" w:themeShade="BF"/>
    </w:rPr>
  </w:style>
  <w:style w:type="character" w:customStyle="1" w:styleId="Nagwek6Znak">
    <w:name w:val="Nagłówek 6 Znak"/>
    <w:basedOn w:val="Domylnaczcionkaakapitu"/>
    <w:link w:val="Nagwek6"/>
    <w:uiPriority w:val="9"/>
    <w:semiHidden/>
    <w:qFormat/>
    <w:rsid w:val="00C64B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C64B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C64B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C64B32"/>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C64B32"/>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C64B32"/>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C64B32"/>
    <w:rPr>
      <w:i/>
      <w:iCs/>
      <w:color w:val="404040" w:themeColor="text1" w:themeTint="BF"/>
    </w:rPr>
  </w:style>
  <w:style w:type="character" w:styleId="Wyrnienieintensywne">
    <w:name w:val="Intense Emphasis"/>
    <w:basedOn w:val="Domylnaczcionkaakapitu"/>
    <w:uiPriority w:val="21"/>
    <w:qFormat/>
    <w:rsid w:val="00C64B32"/>
    <w:rPr>
      <w:i/>
      <w:iCs/>
      <w:color w:val="365F91" w:themeColor="accent1" w:themeShade="BF"/>
    </w:rPr>
  </w:style>
  <w:style w:type="character" w:customStyle="1" w:styleId="CytatintensywnyZnak">
    <w:name w:val="Cytat intensywny Znak"/>
    <w:basedOn w:val="Domylnaczcionkaakapitu"/>
    <w:link w:val="Cytatintensywny"/>
    <w:uiPriority w:val="30"/>
    <w:qFormat/>
    <w:rsid w:val="00C64B32"/>
    <w:rPr>
      <w:i/>
      <w:iCs/>
      <w:color w:val="365F91" w:themeColor="accent1" w:themeShade="BF"/>
    </w:rPr>
  </w:style>
  <w:style w:type="character" w:styleId="Odwoanieintensywne">
    <w:name w:val="Intense Reference"/>
    <w:basedOn w:val="Domylnaczcionkaakapitu"/>
    <w:uiPriority w:val="32"/>
    <w:qFormat/>
    <w:rsid w:val="00C64B32"/>
    <w:rPr>
      <w:b/>
      <w:bCs/>
      <w:smallCaps/>
      <w:color w:val="365F91" w:themeColor="accent1" w:themeShade="BF"/>
      <w:spacing w:val="5"/>
    </w:rPr>
  </w:style>
  <w:style w:type="character" w:customStyle="1" w:styleId="ZwykytekstZnak">
    <w:name w:val="Zwykły tekst Znak"/>
    <w:basedOn w:val="Domylnaczcionkaakapitu"/>
    <w:link w:val="Zwykytekst"/>
    <w:uiPriority w:val="99"/>
    <w:semiHidden/>
    <w:qFormat/>
    <w:rsid w:val="007A1374"/>
    <w:rPr>
      <w:rFonts w:ascii="Calibri" w:eastAsia="Times New Roman" w:hAnsi="Calibri"/>
      <w:szCs w:val="21"/>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3D0393"/>
    <w:pPr>
      <w:ind w:left="720"/>
      <w:contextualSpacing/>
    </w:pPr>
  </w:style>
  <w:style w:type="paragraph" w:styleId="Tytu">
    <w:name w:val="Title"/>
    <w:basedOn w:val="Normalny"/>
    <w:next w:val="Normalny"/>
    <w:link w:val="TytuZnak"/>
    <w:uiPriority w:val="10"/>
    <w:qFormat/>
    <w:rsid w:val="00C64B32"/>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C64B32"/>
    <w:pPr>
      <w:spacing w:after="160"/>
    </w:pPr>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4B32"/>
    <w:pPr>
      <w:spacing w:before="160" w:after="160"/>
      <w:jc w:val="center"/>
    </w:pPr>
    <w:rPr>
      <w:i/>
      <w:iCs/>
      <w:color w:val="404040" w:themeColor="text1" w:themeTint="BF"/>
    </w:rPr>
  </w:style>
  <w:style w:type="paragraph" w:styleId="Cytatintensywny">
    <w:name w:val="Intense Quote"/>
    <w:basedOn w:val="Normalny"/>
    <w:next w:val="Normalny"/>
    <w:link w:val="CytatintensywnyZnak"/>
    <w:uiPriority w:val="30"/>
    <w:qFormat/>
    <w:rsid w:val="00C64B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paragraph" w:customStyle="1" w:styleId="Textbody">
    <w:name w:val="Text body"/>
    <w:basedOn w:val="Normalny"/>
    <w:qFormat/>
    <w:rsid w:val="004163BE"/>
    <w:pPr>
      <w:spacing w:after="140"/>
    </w:pPr>
    <w:rPr>
      <w:rFonts w:ascii="Liberation Serif" w:eastAsia="NSimSun" w:hAnsi="Liberation Serif" w:cs="Arial"/>
      <w:sz w:val="24"/>
      <w:szCs w:val="24"/>
      <w:lang w:eastAsia="zh-CN" w:bidi="hi-IN"/>
      <w14:ligatures w14:val="none"/>
    </w:rPr>
  </w:style>
  <w:style w:type="paragraph" w:styleId="Zwykytekst">
    <w:name w:val="Plain Text"/>
    <w:basedOn w:val="Normalny"/>
    <w:link w:val="ZwykytekstZnak"/>
    <w:uiPriority w:val="99"/>
    <w:semiHidden/>
    <w:unhideWhenUsed/>
    <w:qFormat/>
    <w:rsid w:val="007A1374"/>
    <w:pPr>
      <w:spacing w:after="0" w:line="240" w:lineRule="auto"/>
    </w:pPr>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1189</Words>
  <Characters>7134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Sawa</dc:creator>
  <dc:description/>
  <cp:lastModifiedBy>Danuta Prusinowska</cp:lastModifiedBy>
  <cp:revision>4</cp:revision>
  <cp:lastPrinted>2024-02-06T09:09:00Z</cp:lastPrinted>
  <dcterms:created xsi:type="dcterms:W3CDTF">2024-02-06T09:10:00Z</dcterms:created>
  <dcterms:modified xsi:type="dcterms:W3CDTF">2024-02-06T12:52:00Z</dcterms:modified>
  <dc:language>pl-PL</dc:language>
</cp:coreProperties>
</file>